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#60937P106</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9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59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962,069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6,274,313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6,274,313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17.233%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6,274,313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6,274,313</w:t>
      </w:r>
    </w:p>
    <w:p>
      <w:pPr>
        <w:spacing w:after="0" w:line="237" w:lineRule="auto"/>
        <w:rPr>
          <w:sz w:val="20"/>
          <w:szCs w:val="20"/>
          <w:color w:val="auto"/>
        </w:rPr>
      </w:pPr>
      <w:r>
        <w:rPr>
          <w:rFonts w:ascii="Courier New" w:cs="Courier New" w:eastAsia="Courier New" w:hAnsi="Courier New"/>
          <w:sz w:val="18"/>
          <w:szCs w:val="18"/>
          <w:color w:val="auto"/>
        </w:rPr>
        <w:t>Item 11: 17.233%</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10" w:lineRule="exact"/>
        <w:rPr>
          <w:sz w:val="24"/>
          <w:szCs w:val="24"/>
          <w:color w:val="auto"/>
        </w:rPr>
      </w:pPr>
    </w:p>
    <w:p>
      <w:pPr>
        <w:ind w:right="3019"/>
        <w:spacing w:after="0" w:line="238" w:lineRule="auto"/>
        <w:rPr>
          <w:sz w:val="20"/>
          <w:szCs w:val="20"/>
          <w:color w:val="auto"/>
        </w:rPr>
      </w:pPr>
      <w:r>
        <w:rPr>
          <w:rFonts w:ascii="Courier New" w:cs="Courier New" w:eastAsia="Courier New" w:hAnsi="Courier New"/>
          <w:sz w:val="18"/>
          <w:szCs w:val="18"/>
          <w:color w:val="auto"/>
        </w:rPr>
        <w:t>956,702 of the shares of Class A Common Stock of MONGODB INC reported as being beneficially owned by the reporting persons at December 31, 2018, are included in this Schedule 13G because the reporting persons are deemed to beneficially own such shares as a result of the direct ownership of 956,702 shares of Class B Common Stock of MONGODB INC by investment companies and/or other accounts advised by FMR CO., INC. an indirect wholly-owned subsidiary of FMR LLC, which shares of Class B Common Stock are convertible into shares of Class A Common Stock at the election of the holder at an exchange rate of 1:1. Such shares of Class B Common Stock represent 5.258% of the outstanding Class B Common Stock. Assuming the conversion of all outstanding shares of Class B Common Stock into Class A Common Stock, the 6,274,314 shares of Class A Common Stock reported as being beneficially owned by the reporting persons in this Schedule 13G would represent 11.695% of the outstanding Class A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229 W. 43RD STREET, 5TH FLOOR</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99"/>
          </w:cols>
          <w:pgMar w:left="160" w:top="164" w:right="1440" w:bottom="0" w:gutter="0" w:footer="0" w:header="0"/>
        </w:sectPr>
      </w:pPr>
    </w:p>
    <w:bookmarkStart w:id="1" w:name="page2"/>
    <w:bookmarkEnd w:id="1"/>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07" w:lineRule="exact"/>
        <w:rPr>
          <w:sz w:val="20"/>
          <w:szCs w:val="20"/>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6,274,313*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17.233%*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962,069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6,274,313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19"/>
        <w:spacing w:after="0" w:line="238" w:lineRule="auto"/>
        <w:rPr>
          <w:sz w:val="20"/>
          <w:szCs w:val="20"/>
          <w:color w:val="auto"/>
        </w:rPr>
      </w:pPr>
      <w:r>
        <w:rPr>
          <w:rFonts w:ascii="Courier New" w:cs="Courier New" w:eastAsia="Courier New" w:hAnsi="Courier New"/>
          <w:sz w:val="18"/>
          <w:szCs w:val="18"/>
          <w:color w:val="auto"/>
        </w:rPr>
        <w:t>956,702 of the shares of Class A Common Stock of MONGODB INC reported as being beneficially owned by the reporting persons at December 31, 2018, are included in this Schedule 13G because the reporting persons are deemed to beneficially own such shares as a result of the direct ownership of 956,702 shares of Class B Common Stock of MONGODB INC by investment companies and/or other accounts advised by FMR CO., INC. an indirect wholly-owned subsidiary of FMR LLC, which shares of Class B Common Stock are convertible into shares of Class A Common Stock at the election of the holder at an exchange rate of 1:1. Such shares of Class B Common Stock represent 5.258% of the outstanding Class B Common Stock. Assuming the conversion of all outstanding shares of Class B Common Stock into Class A Common Stock, the 6,274,314 shares of Class A Common Stock reported as being beneficially owned by the reporting persons in this Schedule 13G would represent 11.695% of the outstanding Class A Common Stock.</w:t>
      </w:r>
    </w:p>
    <w:p>
      <w:pPr>
        <w:spacing w:after="0" w:line="207"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*The following information concerning past beneficial ownership of Class A Common Stock includes shares of Class A Common Stock issuable upon conversion of shares of Class B Common Stock held by investment companies and/or other accounts advised by FMR LLCs direct and indirect investment advisory subsidiaries, as of the relevant date: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380" w:type="dxa"/>
            <w:vAlign w:val="bottom"/>
          </w:tcPr>
          <w:p>
            <w:pPr>
              <w:ind w:left="380"/>
              <w:spacing w:after="0"/>
              <w:rPr>
                <w:sz w:val="20"/>
                <w:szCs w:val="20"/>
                <w:color w:val="auto"/>
              </w:rPr>
            </w:pPr>
            <w:r>
              <w:rPr>
                <w:rFonts w:ascii="Courier New" w:cs="Courier New" w:eastAsia="Courier New" w:hAnsi="Courier New"/>
                <w:sz w:val="18"/>
                <w:szCs w:val="18"/>
                <w:color w:val="auto"/>
              </w:rPr>
              <w:t>Amount Beneficially Owned</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w w:val="97"/>
              </w:rPr>
              <w:t>Percent of Class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31, 2017</w:t>
            </w: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2,311,136</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24.017%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2017</w:t>
            </w: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1,694,257</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15.571%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31, 2018</w:t>
            </w: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1,334,854</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5.379%</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 2018</w:t>
            </w: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3,270,939</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12.694%</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31, 2018</w:t>
            </w:r>
          </w:p>
        </w:tc>
        <w:tc>
          <w:tcPr>
            <w:tcW w:w="3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4,655,667</w:t>
            </w: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18.068%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MONGODB INC. No one other person's interest in the CLASS A COMMON STOCK of MONGODB INC is more than five percent of the total outstanding CLASS A COMMON STOCK.</w:t>
      </w:r>
    </w:p>
    <w:p>
      <w:pPr>
        <w:spacing w:after="0" w:line="208"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63" w:orient="portrait"/>
          <w:cols w:equalWidth="0" w:num="1">
            <w:col w:w="10299"/>
          </w:cols>
          <w:pgMar w:left="160" w:top="259" w:right="1440" w:bottom="0" w:gutter="0" w:footer="0" w:header="0"/>
        </w:sectPr>
      </w:pPr>
    </w:p>
    <w:bookmarkStart w:id="2" w:name="page3"/>
    <w:bookmarkEnd w:id="2"/>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9,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5460" w:val="left"/>
        </w:tabs>
        <w:rPr>
          <w:sz w:val="20"/>
          <w:szCs w:val="20"/>
          <w:color w:val="auto"/>
        </w:rPr>
      </w:pPr>
      <w:r>
        <w:rPr>
          <w:rFonts w:ascii="Courier New" w:cs="Courier New" w:eastAsia="Courier New" w:hAnsi="Courier New"/>
          <w:sz w:val="18"/>
          <w:szCs w:val="18"/>
          <w:color w:val="auto"/>
        </w:rPr>
        <w:t>FIDELITY MANAGEMENT &amp; RESEARCH (HONG KONG) LIMITED</w:t>
        <w:tab/>
        <w:t>IA</w:t>
      </w:r>
    </w:p>
    <w:p>
      <w:pPr>
        <w:spacing w:after="0"/>
        <w:rPr>
          <w:sz w:val="20"/>
          <w:szCs w:val="20"/>
          <w:color w:val="auto"/>
        </w:rPr>
      </w:pPr>
      <w:r>
        <w:rPr>
          <w:rFonts w:ascii="Courier New" w:cs="Courier New" w:eastAsia="Courier New" w:hAnsi="Courier New"/>
          <w:sz w:val="18"/>
          <w:szCs w:val="18"/>
          <w:color w:val="auto"/>
        </w:rPr>
        <w:t>FMR CO., INC * 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9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0" w:lineRule="exact"/>
        <w:rPr>
          <w:sz w:val="20"/>
          <w:szCs w:val="20"/>
          <w:color w:val="auto"/>
        </w:rPr>
      </w:pPr>
    </w:p>
    <w:p>
      <w:pPr>
        <w:ind w:right="2179"/>
        <w:spacing w:after="0" w:line="279"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w:t>
      </w:r>
    </w:p>
    <w:p>
      <w:pPr>
        <w:sectPr>
          <w:pgSz w:w="11900" w:h="16892" w:orient="portrait"/>
          <w:cols w:equalWidth="0" w:num="1">
            <w:col w:w="10299"/>
          </w:cols>
          <w:pgMar w:left="160" w:top="259" w:right="1440" w:bottom="0" w:gutter="0" w:footer="0" w:header="0"/>
        </w:sectPr>
      </w:pPr>
    </w:p>
    <w:bookmarkStart w:id="3" w:name="page4"/>
    <w:bookmarkEnd w:id="3"/>
    <w:p>
      <w:pPr>
        <w:ind w:right="2079"/>
        <w:spacing w:after="0" w:line="237" w:lineRule="auto"/>
        <w:rPr>
          <w:sz w:val="20"/>
          <w:szCs w:val="20"/>
          <w:color w:val="auto"/>
        </w:rPr>
      </w:pPr>
      <w:r>
        <w:rPr>
          <w:rFonts w:ascii="Courier New" w:cs="Courier New" w:eastAsia="Courier New" w:hAnsi="Courier New"/>
          <w:sz w:val="18"/>
          <w:szCs w:val="18"/>
          <w:color w:val="auto"/>
        </w:rPr>
        <w:t>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8"/>
          <w:szCs w:val="18"/>
          <w:color w:val="auto"/>
        </w:rPr>
        <w:t>The undersigned persons, on January 9, 2019, agree and consent to the joint filing on their behalf of this Schedule 13G in connection with their beneficial ownership of the CLASS A COMMON STOCK of MONGODB INC at December 31,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99"/>
      </w:cols>
      <w:pgMar w:left="160" w:top="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2019-12-15T14:15:24Z</dcterms:created>
  <dcterms:modified xsi:type="dcterms:W3CDTF">2019-12-15T14:15:24Z</dcterms:modified>
</cp:coreProperties>
</file>