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025073.xml.htm"/>
      <w:bookmarkStart w:id="1" w:name="kswkform4_178302507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Lewnes Ann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MONGODB,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1633 BROADWAY, 38TH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MongoDB, Inc.</w:t>
              </w:r>
            </w:hyperlink>
            <w:r>
              <w:rPr/>
              <w:t xml:space="preserve"> [ </w:t>
            </w:r>
            <w:r>
              <w:rPr>
                <w:rFonts w:ascii="Times;serif" w:hAnsi="Times;serif"/>
                <w:color w:val="0000FF"/>
                <w:sz w:val="24"/>
                <w:shd w:fill="FFFFFF" w:val="clear"/>
              </w:rPr>
              <w:t>MDB</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06/30/2026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767</w:t>
            </w:r>
            <w:r>
              <w:rPr>
                <w:rFonts w:ascii="Times;serif" w:hAnsi="Times;serif"/>
                <w:color w:val="008000"/>
                <w:position w:val="7"/>
                <w:sz w:val="16"/>
                <w:sz w:val="20"/>
                <w:shd w:fill="FFFFFF" w:val="clear"/>
              </w:rPr>
              <w:t>(1)</w:t>
            </w:r>
            <w:r>
              <w:rPr/>
              <w:t xml:space="preserve"> </w:t>
            </w:r>
          </w:p>
        </w:tc>
        <w:tc>
          <w:tcPr>
            <w:tcW w:w="4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3,295</w:t>
            </w:r>
          </w:p>
        </w:tc>
        <w:tc>
          <w:tcPr>
            <w:tcW w:w="10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159</w:t>
            </w:r>
            <w:r>
              <w:rPr>
                <w:rFonts w:ascii="Times;serif" w:hAnsi="Times;serif"/>
                <w:color w:val="008000"/>
                <w:position w:val="7"/>
                <w:sz w:val="16"/>
                <w:sz w:val="20"/>
                <w:shd w:fill="FFFFFF" w:val="clear"/>
              </w:rPr>
              <w:t>(2)</w:t>
            </w:r>
            <w:r>
              <w:rPr/>
              <w:t xml:space="preserve"> </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3,454</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issued to the Reporting Person pursuant to the annual equity grant under the Issuer's non-employee director compensation policy. Each restricted stock unit represents a contingent right to receive one share of common stock of the Issuer and has no expiration date. The shares underlying the restricted stock unit award shall vest in full on the earlier of (i) the first anniversary of the grant date and (ii) the date of the Issuer's 2027 annual stockholders' meeting, subject to the Reporting Person providing continuous service to the Issuer through such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fully vested shares issued to the Reporting Person who elected to receive stock in lieu of cash for services as a director under the Issuer's non-employee director compensation policy. The number of shares was calculated based on the 30-day volume-weighted average share price as of the date immediately prior to the date of issuance and the amount of fees owed to the Reporting Person.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Gahee Lee, Attorney in 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97445" TargetMode="External"/><Relationship Id="rId5" Type="http://schemas.openxmlformats.org/officeDocument/2006/relationships/hyperlink" Target="http://www.sec.gov/cgi-bin/browse-edgar?action=getcompany&amp;CIK=000144181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732</Words>
  <Characters>3910</Characters>
  <CharactersWithSpaces>4575</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