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6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60"/>
        <w:jc w:val="center"/>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Securities Exchange Act of 1934 </w:t>
      </w:r>
    </w:p>
    <w:p>
      <w:pPr>
        <w:pStyle w:val="TextBody"/>
        <w:bidi w:val="0"/>
        <w:spacing w:lineRule="auto" w:line="288" w:before="0" w:after="60"/>
        <w:jc w:val="center"/>
        <w:rPr/>
      </w:pPr>
      <w:r>
        <w:rPr>
          <w:rFonts w:ascii="Times New Roman;serif" w:hAnsi="Times New Roman;serif"/>
          <w:b/>
          <w:color w:val="000000"/>
          <w:sz w:val="24"/>
        </w:rPr>
        <w:t xml:space="preserve">Date of Report (Date of earliest event reported): </w:t>
      </w:r>
      <w:r>
        <w:rPr>
          <w:rFonts w:ascii="Times New Roman;serif" w:hAnsi="Times New Roman;serif"/>
          <w:b w:val="false"/>
          <w:color w:val="000000"/>
          <w:sz w:val="20"/>
        </w:rPr>
        <w:t xml:space="preserve">October 12, 2026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MONGODB,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___________________ </w:t>
      </w:r>
    </w:p>
    <w:tbl>
      <w:tblPr>
        <w:tblW w:w="5864" w:type="dxa"/>
        <w:jc w:val="center"/>
        <w:tblInd w:w="0" w:type="dxa"/>
        <w:tblLayout w:type="fixed"/>
        <w:tblCellMar>
          <w:top w:w="28" w:type="dxa"/>
          <w:left w:w="28" w:type="dxa"/>
          <w:bottom w:w="28" w:type="dxa"/>
          <w:right w:w="28" w:type="dxa"/>
        </w:tblCellMar>
      </w:tblPr>
      <w:tblGrid>
        <w:gridCol w:w="630"/>
        <w:gridCol w:w="553"/>
        <w:gridCol w:w="556"/>
        <w:gridCol w:w="377"/>
        <w:gridCol w:w="377"/>
        <w:gridCol w:w="386"/>
        <w:gridCol w:w="559"/>
        <w:gridCol w:w="559"/>
        <w:gridCol w:w="562"/>
        <w:gridCol w:w="382"/>
        <w:gridCol w:w="382"/>
        <w:gridCol w:w="541"/>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28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Delaware</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001-38240</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26-1463205</w:t>
            </w:r>
          </w:p>
        </w:tc>
      </w:tr>
      <w:tr>
        <w:trPr/>
        <w:tc>
          <w:tcPr>
            <w:tcW w:w="28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w:t>
              <w:br/>
              <w:t>of Incorporation)</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(Commission File Number)</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No.)</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15"/>
              <w:jc w:val="right"/>
              <w:rPr>
                <w:rFonts w:ascii="Times New Roman;serif" w:hAnsi="Times New Roman;serif"/>
                <w:b/>
                <w:color w:val="000000"/>
                <w:sz w:val="22"/>
              </w:rPr>
            </w:pPr>
            <w:r>
              <w:rPr>
                <w:rFonts w:ascii="Times New Roman;serif" w:hAnsi="Times New Roman;serif"/>
                <w:b/>
                <w:color w:val="000000"/>
                <w:sz w:val="22"/>
              </w:rPr>
              <w:t>1633 Broadway,</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15"/>
              <w:jc w:val="left"/>
              <w:rPr>
                <w:rFonts w:ascii="Times New Roman;serif" w:hAnsi="Times New Roman;serif"/>
                <w:b/>
                <w:color w:val="000000"/>
                <w:sz w:val="22"/>
              </w:rPr>
            </w:pPr>
            <w:r>
              <w:rPr>
                <w:rFonts w:ascii="Times New Roman;serif" w:hAnsi="Times New Roman;serif"/>
                <w:b/>
                <w:color w:val="000000"/>
                <w:sz w:val="22"/>
              </w:rPr>
              <w:t>38th Floor</w:t>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15"/>
              <w:jc w:val="right"/>
              <w:rPr>
                <w:rFonts w:ascii="Times New Roman;serif" w:hAnsi="Times New Roman;serif"/>
                <w:b/>
                <w:color w:val="000000"/>
                <w:sz w:val="22"/>
              </w:rPr>
            </w:pPr>
            <w:r>
              <w:rPr>
                <w:rFonts w:ascii="Times New Roman;serif" w:hAnsi="Times New Roman;serif"/>
                <w:b/>
                <w:color w:val="000000"/>
                <w:sz w:val="22"/>
              </w:rPr>
              <w:t>New York,</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15"/>
              <w:jc w:val="left"/>
              <w:rPr>
                <w:rFonts w:ascii="Times New Roman;serif" w:hAnsi="Times New Roman;serif"/>
                <w:b/>
                <w:color w:val="000000"/>
                <w:sz w:val="22"/>
              </w:rPr>
            </w:pPr>
            <w:r>
              <w:rPr>
                <w:rFonts w:ascii="Times New Roman;serif" w:hAnsi="Times New Roman;serif"/>
                <w:b/>
                <w:color w:val="000000"/>
                <w:sz w:val="22"/>
              </w:rPr>
              <w:t>NY</w:t>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10019</w:t>
            </w:r>
          </w:p>
        </w:tc>
      </w:tr>
      <w:tr>
        <w:trPr/>
        <w:tc>
          <w:tcPr>
            <w:tcW w:w="28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646-727-4092 </w:t>
      </w:r>
    </w:p>
    <w:p>
      <w:pPr>
        <w:pStyle w:val="TextBody"/>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 xml:space="preserve">(Registrant’s Telephone Number, Including Area Code)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Not Applicable </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(Former Name or Former Address, if Changed Since Last Report) </w:t>
      </w:r>
    </w:p>
    <w:p>
      <w:pPr>
        <w:pStyle w:val="TextBody"/>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Exchange Act:</w:t>
      </w:r>
    </w:p>
    <w:tbl>
      <w:tblPr>
        <w:tblW w:w="9773" w:type="dxa"/>
        <w:jc w:val="center"/>
        <w:tblInd w:w="0" w:type="dxa"/>
        <w:tblLayout w:type="fixed"/>
        <w:tblCellMar>
          <w:top w:w="28" w:type="dxa"/>
          <w:left w:w="28" w:type="dxa"/>
          <w:bottom w:w="28" w:type="dxa"/>
          <w:right w:w="28" w:type="dxa"/>
        </w:tblCellMar>
      </w:tblPr>
      <w:tblGrid>
        <w:gridCol w:w="1301"/>
        <w:gridCol w:w="1143"/>
        <w:gridCol w:w="1156"/>
        <w:gridCol w:w="109"/>
        <w:gridCol w:w="109"/>
        <w:gridCol w:w="109"/>
        <w:gridCol w:w="564"/>
        <w:gridCol w:w="564"/>
        <w:gridCol w:w="566"/>
        <w:gridCol w:w="109"/>
        <w:gridCol w:w="109"/>
        <w:gridCol w:w="109"/>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MDB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60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(see General Instructions A.2. below): </w:t>
      </w:r>
    </w:p>
    <w:p>
      <w:pPr>
        <w:pStyle w:val="TextBody"/>
        <w:bidi w:val="0"/>
        <w:spacing w:lineRule="auto" w:line="288" w:before="0" w:after="180"/>
        <w:ind w:left="0" w:right="0" w:hanging="450"/>
        <w:jc w:val="left"/>
        <w:rPr/>
      </w:pPr>
      <w:r>
        <w:rPr>
          <w:color w:val="000000"/>
        </w:rPr>
        <w:t>☐    </w:t>
      </w:r>
      <w:r>
        <w:rPr>
          <w:rFonts w:ascii="Times New Roman;serif" w:hAnsi="Times New Roman;serif"/>
          <w:b w:val="false"/>
          <w:color w:val="000000"/>
          <w:sz w:val="20"/>
        </w:rPr>
        <w:t xml:space="preserve">Written communications pursuant to Rule 425 under the Securities Act (17 CFR 230.425) </w:t>
      </w:r>
    </w:p>
    <w:p>
      <w:pPr>
        <w:pStyle w:val="TextBody"/>
        <w:bidi w:val="0"/>
        <w:spacing w:lineRule="auto" w:line="288" w:before="0" w:after="180"/>
        <w:ind w:left="0" w:right="0" w:hanging="450"/>
        <w:jc w:val="left"/>
        <w:rPr/>
      </w:pPr>
      <w:r>
        <w:rPr>
          <w:color w:val="000000"/>
        </w:rPr>
        <w:t>☐    </w:t>
      </w:r>
      <w:r>
        <w:rPr>
          <w:rFonts w:ascii="Times New Roman;serif" w:hAnsi="Times New Roman;serif"/>
          <w:b w:val="false"/>
          <w:color w:val="000000"/>
          <w:sz w:val="20"/>
        </w:rPr>
        <w:t xml:space="preserve">Soliciting material pursuant to Rule 14a-12 under the Exchange Act (17 CFR 240.14a-12) </w:t>
      </w:r>
    </w:p>
    <w:p>
      <w:pPr>
        <w:pStyle w:val="TextBody"/>
        <w:bidi w:val="0"/>
        <w:spacing w:lineRule="auto" w:line="288" w:before="0" w:after="180"/>
        <w:ind w:left="0" w:right="0" w:hanging="450"/>
        <w:jc w:val="left"/>
        <w:rPr/>
      </w:pPr>
      <w:r>
        <w:rPr>
          <w:color w:val="000000"/>
        </w:rPr>
        <w:t>☐    </w:t>
      </w:r>
      <w:r>
        <w:rPr>
          <w:rFonts w:ascii="Times New Roman;serif" w:hAnsi="Times New Roman;serif"/>
          <w:b w:val="false"/>
          <w:color w:val="000000"/>
          <w:sz w:val="20"/>
        </w:rPr>
        <w:t xml:space="preserve">Pre-commencement communications pursuant to Rule 14d-2(b) under the Exchange Act (17 CFR 240.14d-2(b)) </w:t>
      </w:r>
    </w:p>
    <w:p>
      <w:pPr>
        <w:pStyle w:val="TextBody"/>
        <w:bidi w:val="0"/>
        <w:spacing w:lineRule="auto" w:line="288" w:before="0" w:after="180"/>
        <w:ind w:left="0" w:right="0" w:hanging="450"/>
        <w:jc w:val="left"/>
        <w:rPr/>
      </w:pPr>
      <w:r>
        <w:rPr>
          <w:color w:val="000000"/>
        </w:rPr>
        <w:t>☐    </w:t>
      </w:r>
      <w:r>
        <w:rPr>
          <w:rFonts w:ascii="Times New Roman;serif" w:hAnsi="Times New Roman;serif"/>
          <w:b w:val="false"/>
          <w:color w:val="000000"/>
          <w:sz w:val="20"/>
        </w:rPr>
        <w:t xml:space="preserve">Pre-commencement communications pursuant to Rule 13e-4(c) under the Exchange Act (17 CFR 240.13e-4(c))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80"/>
        <w:ind w:left="0" w:right="0" w:hanging="45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120"/>
        <w:ind w:left="0" w:right="0" w:firstLine="45"/>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Compensatory Arrangements of Interim President and Chief Executive Officer</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in the Current Report on Form 8-K filed by MongoDB, Inc. (the “Company”) with the Securities and Exchange Commission (the “SEC”) on September 28, 2026, the Board of Directors of the Company (the “Board”) appointed Dev Ittycheria as the Interim President and Chief Executive Officer of the Company, effective September 28, 2026. In connection with his appointment, on October 14, 2026, Mr. Ittycheria entered into an employment agreement with the Company, effective as of September 28, 2026 (the “Effective Date”) (the “Employment Agreement”), that entitles him to receive (i) an annual base salary of $500,000; (ii) a one-time sign-on cash bonus of $500,000 and (iii) a target cash bonus opportunity of 70% of his annual base salary ($350,000), based on the achievement of Company performance goals, prorated for fiscal year 2027 (and, if applicable, fiscal year 2028) based on his period of service as Interim President and Chief Executive Officer, and payable without regard to whether he remains employed on the payment date.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will grant to Mr. Ittycheria restricted stock units (“RSUs”) under the Company’s Amended and Restated 2016 Equity Incentive Plan (the “2016 Plan”) with a grant value of $15,000,000 (with the number of RSUs to be based on the 30-trading-day volume-weighted average price of the Company’s common stock on the Nasdaq Global Market for the period ending October 9, 2026, rounded up to the nearest whole share). The RSUs will vest in four equal quarterly installments on January 1, 2027, April 1, 2027, July 1, 2027 and October 1, 2027, such that 100% of the RSUs will have vested on October 1, 2027, subject to Mr. Ittycheria’s continued service through each vesting date.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Employment Agreement, upon a termination of Mr. Ittycheria’s employment by the Company without “cause” or by Mr. Ittycheria for “good reason” (each as defined in the Employment Agreement), subject to his execution and non-revocation of a release of claims in favor of the Company, Mr. Ittycheria will be eligible to receive (i) continued payment of his base salary for 12 months following termination and (ii) payment of COBRA premiums for up to 18 months following termination. If such termination occurs in connection with, or within the three months prior to or 12 months following, a “change in control” (as defined in the 2016 Plan), Mr. Ittycheria will also be entitled to receive (i) an amount equal to 12 months of his “cash eligible” annual target bonus, (ii) any earned but unpaid annual bonus for the preceding fiscal year, (iii) a prorated annual bonus for the fiscal year of termination, based on the greater of target and actual performance, (iv) full accelerated vesting of his outstanding time-based equity awards and (v) accelerated vesting of his outstanding performance-based equity awards, based on the greater of target and actual performance.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Upon a termination due to death or disability while Mr. Ittycheria is providing service to the Company, then the RSUs described above and all other outstanding equity awards will automatically vest.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Mr. Ittycheria will provide continuous service to the Company in some capacity for at least twelve (12) months following a new CEO’s start date, and such continuous service will not terminate before April 1, 2028.</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Mr. Ittycheria will also be eligible to participate in the compensation and benefit programs generally available to the Company’s executive officers. Mr. Ittycheria will not receive additional compensation for his service as a member of the Board.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Employment Agreement supersedes and replaces the advisory agreement between Mr. Ittycheria and the Company, dated October 29, 2025 and effective November 10, 2025 (the “Advisory Agreement”), as previously disclosed in the Company’s Current Report on Form 8-K filed with the SEC on November 3, 2025 and filed as Exhibit 10.1 to the Company’s Quarterly Report on Form 10-Q for the quarter ended October 31, 2025. As of the Effective Date, the Advisory Agreement will have no further force or effect. Mr. Ittycheria’s previously granted equity awards will continue to be governed by the terms of the applicable equity incentive plan and award agreements, and will continue to vest in accordance with their terms, subject to his continued service.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copy of the Employment Agreement will be filed with the Company’s Quarterly Report on Form 10-Q for the quarter ending October 31, 2026. The above summary of the Employment Agreement does not purport to be complete and is subject to and qualified in its entirety by reference to the Employment Agreement.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Retention Award to Chief Financial Officer</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12, 2026, the Compensation Committee approved a one-time retention award to Michael Berry, the Company’s Chief Financial Officer. In connection with his one-time retention award, Mr. Berry executed a Retention Agreement (the “Retention Agreement”) on October 14, 2026. The Company will grant to Mr. Berry service-vesting RSUs under the 2016 Plan with a grant value of $10,000,000 (with the number of RSUs to be based on the 30-trading-day volume-weighted average price of the Company’s common stock on the Nasdaq Global Market for the period from August 28, 2026 to October 9, 2026, rounded up to the nearest whole share). The RSUs will vest in three equal installments on each of April 1, 2027, October 1, 2027 and April 1, 2028, subject to Mr. Berry’s continued service through each such vesting date. The RSUs will vest in full upon a termination of Mr. Berry’s service by the Company without “cause” or by Mr. Berry for “good reason,” subject to his execution and non-revocation of a release of claims in favor of the Company.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copy of the Retention Agreement will be filed with the Company’s Quarterly Report on Form 10-Q for the quarter ending October 31, 2026. The above summary of the Retention Agreement does not purport to be complete and is subject to and qualified in its entirety by reference to the Retention Agreement.</w:t>
      </w:r>
    </w:p>
    <w:p>
      <w:pPr>
        <w:pStyle w:val="TextBody"/>
        <w:bidi w:val="0"/>
        <w:spacing w:before="0" w:after="0"/>
        <w:ind w:left="0" w:right="0" w:firstLine="720"/>
        <w:jc w:val="both"/>
        <w:rPr/>
      </w:pPr>
      <w:r>
        <w:rPr/>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991"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33"/>
        <w:gridCol w:w="1933"/>
        <w:gridCol w:w="2734"/>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18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6539" w:type="dxa"/>
        <w:jc w:val="center"/>
        <w:tblInd w:w="0" w:type="dxa"/>
        <w:tblLayout w:type="fixed"/>
        <w:tblCellMar>
          <w:top w:w="28" w:type="dxa"/>
          <w:left w:w="28" w:type="dxa"/>
          <w:bottom w:w="28" w:type="dxa"/>
          <w:right w:w="28" w:type="dxa"/>
        </w:tblCellMar>
      </w:tblPr>
      <w:tblGrid>
        <w:gridCol w:w="765"/>
        <w:gridCol w:w="672"/>
        <w:gridCol w:w="678"/>
        <w:gridCol w:w="175"/>
        <w:gridCol w:w="175"/>
        <w:gridCol w:w="175"/>
        <w:gridCol w:w="175"/>
        <w:gridCol w:w="175"/>
        <w:gridCol w:w="175"/>
        <w:gridCol w:w="967"/>
        <w:gridCol w:w="967"/>
        <w:gridCol w:w="1440"/>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MONGODB, INC.</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October 15, 2026</w:t>
            </w:r>
          </w:p>
        </w:tc>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Andrew Stephens</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Name:</w:t>
            </w:r>
            <w:r>
              <w:rPr>
                <w:color w:val="000000"/>
              </w:rPr>
              <w:t xml:space="preserve"> </w:t>
            </w:r>
            <w:r>
              <w:rPr>
                <w:rFonts w:ascii="Times New Roman;serif" w:hAnsi="Times New Roman;serif"/>
                <w:b w:val="false"/>
                <w:color w:val="000000"/>
                <w:sz w:val="20"/>
              </w:rPr>
              <w:t>Andrew Stephens</w:t>
              <w:br/>
            </w:r>
            <w:r>
              <w:rPr>
                <w:rFonts w:ascii="Times New Roman;serif" w:hAnsi="Times New Roman;serif"/>
                <w:b/>
                <w:color w:val="000000"/>
                <w:sz w:val="20"/>
              </w:rPr>
              <w:t>Title:</w:t>
            </w:r>
            <w:r>
              <w:rPr>
                <w:color w:val="000000"/>
              </w:rPr>
              <w:t xml:space="preserve"> </w:t>
            </w:r>
            <w:r>
              <w:rPr>
                <w:rFonts w:ascii="Times New Roman;serif" w:hAnsi="Times New Roman;serif"/>
                <w:b w:val="false"/>
                <w:color w:val="000000"/>
                <w:sz w:val="20"/>
              </w:rPr>
              <w:t>Chief Legal Officer and Secretary</w:t>
            </w:r>
          </w:p>
        </w:tc>
      </w:tr>
    </w:tbl>
    <w:p>
      <w:pPr>
        <w:pStyle w:val="TextBody"/>
        <w:bidi w:val="0"/>
        <w:spacing w:before="0" w:after="0"/>
        <w:ind w:left="0" w:right="0" w:firstLine="18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1395</Words>
  <Characters>7484</Characters>
  <CharactersWithSpaces>8847</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