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2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Eisenberg Meagen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20" w:type="dxa"/>
            <w:vAlign w:val="bottom"/>
            <w:tcBorders>
              <w:top w:val="single" w:sz="8" w:color="0000EE"/>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10/18/2017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MongoDB,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MDB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MONGODB,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229 WEST 43RD STREET, 5TH FLOOR</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6"/>
        <w:spacing w:after="0"/>
        <w:rPr>
          <w:sz w:val="20"/>
          <w:szCs w:val="20"/>
          <w:color w:val="auto"/>
        </w:rPr>
      </w:pPr>
      <w:r>
        <w:rPr>
          <w:rFonts w:ascii="Arial" w:cs="Arial" w:eastAsia="Arial" w:hAnsi="Arial"/>
          <w:sz w:val="18"/>
          <w:szCs w:val="18"/>
          <w:color w:val="0000FF"/>
        </w:rPr>
        <w:t>Chief Marketing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0" w:type="dxa"/>
            <w:vAlign w:val="bottom"/>
          </w:tcPr>
          <w:p>
            <w:pPr>
              <w:ind w:left="840"/>
              <w:spacing w:after="0"/>
              <w:rPr>
                <w:sz w:val="20"/>
                <w:szCs w:val="20"/>
                <w:color w:val="auto"/>
              </w:rPr>
            </w:pPr>
            <w:r>
              <w:rPr>
                <w:rFonts w:ascii="Arial" w:cs="Arial" w:eastAsia="Arial" w:hAnsi="Arial"/>
                <w:sz w:val="18"/>
                <w:szCs w:val="18"/>
                <w:color w:val="0000FF"/>
              </w:rPr>
              <w:t>0</w:t>
            </w:r>
          </w:p>
        </w:tc>
        <w:tc>
          <w:tcPr>
            <w:tcW w:w="780" w:type="dxa"/>
            <w:vAlign w:val="bottom"/>
          </w:tcPr>
          <w:p>
            <w:pPr>
              <w:ind w:left="52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840" w:type="dxa"/>
            <w:vAlign w:val="bottom"/>
            <w:gridSpan w:val="6"/>
          </w:tcPr>
          <w:p>
            <w:pPr>
              <w:ind w:left="2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7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2000" w:type="dxa"/>
            <w:vAlign w:val="bottom"/>
          </w:tcPr>
          <w:p>
            <w:pPr>
              <w:spacing w:after="0"/>
              <w:rPr>
                <w:sz w:val="12"/>
                <w:szCs w:val="12"/>
                <w:color w:val="auto"/>
              </w:rPr>
            </w:pPr>
          </w:p>
        </w:tc>
        <w:tc>
          <w:tcPr>
            <w:tcW w:w="7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200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138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A Common Stock</w:t>
            </w: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5,000</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38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04/22/2025</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B Common Stock</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335,000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6.5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38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04/13/2026</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B Common Stock</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128,125</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6.5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40" w:firstLine="9"/>
        <w:spacing w:after="0" w:line="228"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share of Class B Common Stock is convertible at any time at the option of the Reporting Person into one share of Class A Common Stock and has no expiration date. Upon the closing of the Issuer's sale of its Class A Common Stock in its firm commitment underwritten initial public offering pursuant to its registration statement on Form S-1 (File No. 333-220557) under the Securities Act of 1933, as amended, the Class B Common Stock will convert automatically into Class A Common Stock on the same basis upon the earlier of: (i) any transfer, whether or not for value, except for certain "Permitted Transfers" as defined in the Issuer's restated certificate of incorporation, and (ii) at such time as the outstanding shares of Class B common stock represent less than 10% of the aggregate number of shares of the Issuer's capital stock outstanding.</w:t>
      </w:r>
    </w:p>
    <w:p>
      <w:pPr>
        <w:spacing w:after="0" w:line="32"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All shares underlying this option are immediately exercisable, subject to a repurchase right in the Issuer's favor which lapses in accordance with the option's vesting schedule. 211,041 shares are vested. The remaining shares shall vest in 17 equal monthly installments beginning on November 4, 2017, subject to the Reporting Person providing continuous service to the Issuer on each such date.</w:t>
      </w:r>
    </w:p>
    <w:p>
      <w:pPr>
        <w:ind w:left="40" w:right="12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All shares underlying this option are immediately exercisable, subject to a repurchase right in the Issuer's favor which lapses in accordance with the option's vesting schedule. The shares underlying the option shall vest as to (i) 28,122 shares in 12 equal monthly installments beginning on May 13, 2018, and (ii) 100,003 shares in 24 equal monthly installments beginning on May 13, 2019, in each case, subject to the Reporting Person providing continuous service to the Issuer on each such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/s/Alison Haggerty,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10/18/2017</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Executing Form ID and Forms 3, 4 and 5)</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Andrew Stephens and Sarah Ward of MongoDB, Inc. (the "Company") and Nicole Brookshire and Alison Haggerty of Cooley LLP with full power of substitution, signing individually, the undersigned's true and lawful attorneys-in fact and agents to:</w:t>
      </w:r>
    </w:p>
    <w:p>
      <w:pPr>
        <w:spacing w:after="0" w:line="209" w:lineRule="exact"/>
        <w:rPr>
          <w:sz w:val="20"/>
          <w:szCs w:val="20"/>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the Securities and Exchange Commission (the "SEC") Form ID and</w:t>
      </w:r>
    </w:p>
    <w:p>
      <w:pPr>
        <w:spacing w:after="0" w:line="5" w:lineRule="exact"/>
        <w:rPr>
          <w:rFonts w:ascii="Courier New" w:cs="Courier New" w:eastAsia="Courier New" w:hAnsi="Courier New"/>
          <w:sz w:val="18"/>
          <w:szCs w:val="18"/>
          <w:color w:val="auto"/>
        </w:rPr>
      </w:pPr>
    </w:p>
    <w:p>
      <w:pPr>
        <w:ind w:right="19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Forms 3, 4 and 5 (including amendments thereto and joint filing agreements in connection therewith) in accordance with Section 16(a) of the Securities Exchange Act of 1934, as amended (the "Exchange Act") and the rules thereunder in the undersigned's capacity as an officer, director or beneficial owner of more than 10% of a registered class of securities of the Company;</w:t>
      </w:r>
    </w:p>
    <w:p>
      <w:pPr>
        <w:spacing w:after="0" w:line="184" w:lineRule="exact"/>
        <w:rPr>
          <w:rFonts w:ascii="Courier New" w:cs="Courier New" w:eastAsia="Courier New" w:hAnsi="Courier New"/>
          <w:sz w:val="18"/>
          <w:szCs w:val="18"/>
          <w:color w:val="auto"/>
        </w:rPr>
      </w:pPr>
    </w:p>
    <w:p>
      <w:pPr>
        <w:ind w:right="8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prepare and execute any such Form ID and Forms</w:t>
      </w:r>
    </w:p>
    <w:p>
      <w:pPr>
        <w:spacing w:after="0" w:line="5" w:lineRule="exact"/>
        <w:rPr>
          <w:rFonts w:ascii="Courier New" w:cs="Courier New" w:eastAsia="Courier New" w:hAnsi="Courier New"/>
          <w:sz w:val="18"/>
          <w:szCs w:val="18"/>
          <w:color w:val="auto"/>
        </w:rPr>
      </w:pPr>
    </w:p>
    <w:p>
      <w:pPr>
        <w:ind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or 5 (including amendments thereto and joint filing agreements in connection therewith) and timely file such forms with the SEC and any stock exchange, self-regulatory association or any similar authority; and</w:t>
      </w:r>
    </w:p>
    <w:p>
      <w:pPr>
        <w:spacing w:after="0" w:line="208" w:lineRule="exact"/>
        <w:rPr>
          <w:rFonts w:ascii="Courier New" w:cs="Courier New" w:eastAsia="Courier New" w:hAnsi="Courier New"/>
          <w:sz w:val="18"/>
          <w:szCs w:val="18"/>
          <w:color w:val="auto"/>
        </w:rPr>
      </w:pPr>
    </w:p>
    <w:p>
      <w:pPr>
        <w:ind w:right="145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that, in the opinion of such attorney-in-fact, may be of benefit to,</w:t>
      </w: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9" w:lineRule="exact"/>
        <w:rPr>
          <w:sz w:val="20"/>
          <w:szCs w:val="20"/>
          <w:color w:val="auto"/>
        </w:rPr>
      </w:pPr>
    </w:p>
    <w:p>
      <w:pPr>
        <w:ind w:right="157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391" w:lineRule="exact"/>
        <w:rPr>
          <w:sz w:val="20"/>
          <w:szCs w:val="20"/>
          <w:color w:val="auto"/>
        </w:rPr>
      </w:pPr>
    </w:p>
    <w:p>
      <w:pPr>
        <w:ind w:right="1039" w:firstLine="843"/>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the earliest to occur of (a) the undersigned is no longer required to file Forms 3, 4 and 5</w:t>
      </w:r>
    </w:p>
    <w:p>
      <w:pPr>
        <w:ind w:right="1779"/>
        <w:spacing w:after="0" w:line="273" w:lineRule="auto"/>
        <w:rPr>
          <w:sz w:val="20"/>
          <w:szCs w:val="20"/>
          <w:color w:val="auto"/>
        </w:rPr>
      </w:pPr>
      <w:r>
        <w:rPr>
          <w:rFonts w:ascii="Courier New" w:cs="Courier New" w:eastAsia="Courier New" w:hAnsi="Courier New"/>
          <w:sz w:val="16"/>
          <w:szCs w:val="16"/>
          <w:color w:val="auto"/>
        </w:rPr>
        <w:t>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any of its subsidiaries, or Cooley LLP, as applicable.</w:t>
      </w:r>
    </w:p>
    <w:p>
      <w:pPr>
        <w:spacing w:after="0" w:line="185"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3, 2017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/s/Meagen Eisenberg</w:t>
      </w:r>
    </w:p>
    <w:p>
      <w:pPr>
        <w:spacing w:after="0" w:line="238" w:lineRule="auto"/>
        <w:rPr>
          <w:sz w:val="20"/>
          <w:szCs w:val="20"/>
          <w:color w:val="auto"/>
        </w:rPr>
      </w:pPr>
      <w:r>
        <w:rPr>
          <w:rFonts w:ascii="Courier New" w:cs="Courier New" w:eastAsia="Courier New" w:hAnsi="Courier New"/>
          <w:sz w:val="18"/>
          <w:szCs w:val="18"/>
          <w:color w:val="auto"/>
        </w:rPr>
        <w:t>Meagen Eisenberg</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19468" TargetMode="External"/><Relationship Id="rId12"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2019-12-04T01:57:49Z</dcterms:created>
  <dcterms:modified xsi:type="dcterms:W3CDTF">2019-12-04T01:57:49Z</dcterms:modified>
</cp:coreProperties>
</file>