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213.xml.htm"/>
      <w:bookmarkStart w:id="1" w:name="kswkform4_17830252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MERRIMAN DWIGHT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6"/>
        <w:gridCol w:w="930"/>
        <w:gridCol w:w="799"/>
        <w:gridCol w:w="618"/>
        <w:gridCol w:w="344"/>
        <w:gridCol w:w="819"/>
        <w:gridCol w:w="425"/>
        <w:gridCol w:w="856"/>
        <w:gridCol w:w="1127"/>
        <w:gridCol w:w="976"/>
        <w:gridCol w:w="13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767</w:t>
            </w:r>
            <w:r>
              <w:rPr>
                <w:rFonts w:ascii="Times;serif" w:hAnsi="Times;serif"/>
                <w:color w:val="008000"/>
                <w:position w:val="7"/>
                <w:sz w:val="16"/>
                <w:sz w:val="20"/>
                <w:shd w:fill="FFFFFF" w:val="clear"/>
              </w:rPr>
              <w:t>(1)</w:t>
            </w:r>
            <w:r>
              <w:rPr/>
              <w:t xml:space="preserve"> </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984,083</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334.25</w:t>
            </w:r>
            <w:r>
              <w:rPr/>
              <w:t xml:space="preserve"> </w:t>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982,953</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464,896</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0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79,262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Dwight A. Merriman Charitable Foundation</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issued to the Reporting Person pursuant to the annual equity grant under the Issuer's non-employee director compensation policy. Each restricted stock unit represents a contingent right to receive one share of common stock of the Issuer and has no expiration date. The shares underlying the restricted stock unit award shall vest in full on the earlier of (i) the first anniversary of the grant date and (ii) the date of the Issuer's 2027 annual stockholders' meeting, subject to the Reporting Person providing continuous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were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Dwight A. Merriman 2012 Trust for the benefit of the Reporting Person's children.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Gahee Lee,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785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766</Words>
  <Characters>4113</Characters>
  <CharactersWithSpaces>4804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