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MongoDB,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338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338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60937P106</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338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2018</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338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60" w:hanging="650"/>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60" w:hanging="650"/>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35901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460"/>
          </w:cols>
          <w:pgMar w:left="160" w:top="356" w:right="279" w:bottom="1440" w:gutter="0" w:footer="0" w:header="0"/>
        </w:sectPr>
      </w:pPr>
    </w:p>
    <w:bookmarkStart w:id="1" w:name="page2"/>
    <w:bookmarkEnd w:id="1"/>
    <w:p>
      <w:pPr>
        <w:jc w:val="center"/>
        <w:ind w:right="-131"/>
        <w:spacing w:after="0"/>
        <w:rPr>
          <w:sz w:val="20"/>
          <w:szCs w:val="20"/>
          <w:color w:val="auto"/>
        </w:rPr>
      </w:pPr>
      <w:r>
        <w:rPr>
          <w:rFonts w:ascii="Arial" w:cs="Arial" w:eastAsia="Arial" w:hAnsi="Arial"/>
          <w:sz w:val="17"/>
          <w:szCs w:val="17"/>
          <w:b w:val="1"/>
          <w:bCs w:val="1"/>
          <w:color w:val="auto"/>
        </w:rPr>
        <w:t>SCHEDULE 13G</w:t>
      </w:r>
    </w:p>
    <w:p>
      <w:pPr>
        <w:spacing w:after="0" w:line="295"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60937P106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338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72" w:right="8000" w:hanging="640"/>
        <w:spacing w:after="0" w:line="342" w:lineRule="auto"/>
        <w:tabs>
          <w:tab w:leader="none" w:pos="1072"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Future Fund Board of Guardians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-14605</wp:posOffset>
            </wp:positionV>
            <wp:extent cx="6694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20" w:lineRule="exact"/>
        <w:rPr>
          <w:sz w:val="20"/>
          <w:szCs w:val="20"/>
          <w:color w:val="auto"/>
        </w:rPr>
      </w:pPr>
    </w:p>
    <w:p>
      <w:pPr>
        <w:ind w:left="1072" w:hanging="640"/>
        <w:spacing w:after="0"/>
        <w:tabs>
          <w:tab w:leader="none" w:pos="1072"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28" w:lineRule="exact"/>
        <w:rPr>
          <w:rFonts w:ascii="Arial" w:cs="Arial" w:eastAsia="Arial" w:hAnsi="Arial"/>
          <w:sz w:val="17"/>
          <w:szCs w:val="17"/>
          <w:color w:val="auto"/>
        </w:rPr>
      </w:pPr>
    </w:p>
    <w:p>
      <w:pPr>
        <w:ind w:left="2232" w:hanging="1166"/>
        <w:spacing w:after="0"/>
        <w:tabs>
          <w:tab w:leader="none" w:pos="2232"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32" w:hanging="1166"/>
        <w:spacing w:after="0"/>
        <w:tabs>
          <w:tab w:leader="none" w:pos="2232"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48895</wp:posOffset>
            </wp:positionV>
            <wp:extent cx="59493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49315" cy="8890"/>
                    </a:xfrm>
                    <a:prstGeom prst="rect">
                      <a:avLst/>
                    </a:prstGeom>
                    <a:noFill/>
                  </pic:spPr>
                </pic:pic>
              </a:graphicData>
            </a:graphic>
          </wp:anchor>
        </w:drawing>
        <w:drawing>
          <wp:anchor simplePos="0" relativeHeight="251657728" behindDoc="1" locked="0" layoutInCell="0" allowOverlap="1">
            <wp:simplePos x="0" y="0"/>
            <wp:positionH relativeFrom="column">
              <wp:posOffset>1388745</wp:posOffset>
            </wp:positionH>
            <wp:positionV relativeFrom="paragraph">
              <wp:posOffset>-164465</wp:posOffset>
            </wp:positionV>
            <wp:extent cx="59493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93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72" w:hanging="640"/>
        <w:spacing w:after="0"/>
        <w:tabs>
          <w:tab w:leader="none" w:pos="1072"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48895</wp:posOffset>
            </wp:positionV>
            <wp:extent cx="6694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72" w:right="7720" w:hanging="640"/>
        <w:spacing w:after="0" w:line="277" w:lineRule="auto"/>
        <w:tabs>
          <w:tab w:leader="none" w:pos="1072"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14605</wp:posOffset>
            </wp:positionV>
            <wp:extent cx="66948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ectPr>
          <w:pgSz w:w="11900" w:h="16838" w:orient="portrait"/>
          <w:cols w:equalWidth="0" w:num="1">
            <w:col w:w="11412"/>
          </w:cols>
          <w:pgMar w:left="168" w:top="257" w:right="319" w:bottom="144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5597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1,331,238(1)(2)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5597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5597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1,331,238(1)(2)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5597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975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72" w:space="720"/>
            <w:col w:w="8620"/>
          </w:cols>
          <w:pgMar w:left="168" w:top="257" w:right="319" w:bottom="1440" w:gutter="0" w:footer="0" w:header="0"/>
          <w:type w:val="continuous"/>
        </w:sectPr>
      </w:pPr>
    </w:p>
    <w:p>
      <w:pPr>
        <w:spacing w:after="0" w:line="227" w:lineRule="exact"/>
        <w:rPr>
          <w:sz w:val="20"/>
          <w:szCs w:val="20"/>
          <w:color w:val="auto"/>
        </w:rPr>
      </w:pPr>
    </w:p>
    <w:p>
      <w:pPr>
        <w:ind w:left="1072" w:right="5540" w:hanging="640"/>
        <w:spacing w:after="0" w:line="277" w:lineRule="auto"/>
        <w:tabs>
          <w:tab w:leader="none" w:pos="1072"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1,331,238(1)(2)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14605</wp:posOffset>
            </wp:positionV>
            <wp:extent cx="6694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66" w:lineRule="exact"/>
        <w:rPr>
          <w:sz w:val="20"/>
          <w:szCs w:val="20"/>
          <w:color w:val="auto"/>
        </w:rPr>
      </w:pPr>
    </w:p>
    <w:p>
      <w:pPr>
        <w:ind w:left="1072" w:hanging="640"/>
        <w:spacing w:after="0"/>
        <w:tabs>
          <w:tab w:leader="none" w:pos="1072"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72" w:hanging="640"/>
        <w:spacing w:after="0"/>
        <w:tabs>
          <w:tab w:leader="none" w:pos="1072"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72"/>
        <w:spacing w:after="0"/>
        <w:rPr>
          <w:rFonts w:ascii="Arial" w:cs="Arial" w:eastAsia="Arial" w:hAnsi="Arial"/>
          <w:sz w:val="18"/>
          <w:szCs w:val="18"/>
          <w:color w:val="auto"/>
        </w:rPr>
      </w:pPr>
      <w:r>
        <w:rPr>
          <w:rFonts w:ascii="Arial" w:cs="Arial" w:eastAsia="Arial" w:hAnsi="Arial"/>
          <w:sz w:val="18"/>
          <w:szCs w:val="18"/>
          <w:color w:val="auto"/>
        </w:rPr>
        <w:t>3.6%(3)(4)</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72" w:hanging="640"/>
        <w:spacing w:after="0"/>
        <w:tabs>
          <w:tab w:leader="none" w:pos="1072"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7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right="580" w:firstLine="8"/>
        <w:spacing w:after="0" w:line="258" w:lineRule="auto"/>
        <w:tabs>
          <w:tab w:leader="none" w:pos="247"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1,331,238 shares of Class B common stock held of record by The Northern Trust Company in its capacity as custodian for Future Fund Investment Company No. 4 Pty Ltd, which is a wholly owned subsidiary of Future Fund Board of Guardians.</w:t>
      </w:r>
    </w:p>
    <w:p>
      <w:pPr>
        <w:spacing w:after="0" w:line="1" w:lineRule="exact"/>
        <w:rPr>
          <w:rFonts w:ascii="Arial" w:cs="Arial" w:eastAsia="Arial" w:hAnsi="Arial"/>
          <w:sz w:val="18"/>
          <w:szCs w:val="18"/>
          <w:color w:val="auto"/>
        </w:rPr>
      </w:pPr>
    </w:p>
    <w:p>
      <w:pPr>
        <w:ind w:left="252" w:hanging="252"/>
        <w:spacing w:after="0"/>
        <w:tabs>
          <w:tab w:leader="none" w:pos="252"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share of Class B common stock is convertible at any time into one share of Class A common stock.</w:t>
      </w:r>
    </w:p>
    <w:p>
      <w:pPr>
        <w:spacing w:after="0" w:line="9" w:lineRule="exact"/>
        <w:rPr>
          <w:rFonts w:ascii="Arial" w:cs="Arial" w:eastAsia="Arial" w:hAnsi="Arial"/>
          <w:sz w:val="18"/>
          <w:szCs w:val="18"/>
          <w:color w:val="auto"/>
        </w:rPr>
      </w:pPr>
    </w:p>
    <w:p>
      <w:pPr>
        <w:ind w:left="-8" w:firstLine="8"/>
        <w:spacing w:after="0" w:line="281" w:lineRule="auto"/>
        <w:tabs>
          <w:tab w:leader="none" w:pos="247"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the quotient obtained by dividing (a) the number of shares of Class B common stock beneficially owned by the Reporting Person as set forth in Row 9 by (b) the sum of 35,408,828 shares of Class A common stock outstanding as of December 3, 2018, as reported by the Issuer in its Quarterly Report on Form 10-Q for the quarterly period ended October 31, 2018 filed with the Securities and Exchange Commission on December 12, 2018, and 1,331,238 shares of Class B common stock beneficially owned by the Reporting Person. The shares of Class B common stock beneficially owned by the Reporting Person are treated as converted into Class A common stock only for the purpose of computing the percentage ownership of the Reporting Person.</w:t>
      </w:r>
    </w:p>
    <w:p>
      <w:pPr>
        <w:spacing w:after="0" w:line="2" w:lineRule="exact"/>
        <w:rPr>
          <w:rFonts w:ascii="Arial" w:cs="Arial" w:eastAsia="Arial" w:hAnsi="Arial"/>
          <w:sz w:val="16"/>
          <w:szCs w:val="16"/>
          <w:color w:val="auto"/>
        </w:rPr>
      </w:pPr>
    </w:p>
    <w:p>
      <w:pPr>
        <w:jc w:val="both"/>
        <w:ind w:left="-8" w:right="380" w:firstLine="8"/>
        <w:spacing w:after="0" w:line="255" w:lineRule="auto"/>
        <w:tabs>
          <w:tab w:leader="none" w:pos="292"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per share, and each share of Class B common stock is entitled to ten votes per share. The percentage reported does not reflect the ten for one voting power of the Class B common stock because these shares are treated as converted into Class A common stock for the purpose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-1807210</wp:posOffset>
            </wp:positionV>
            <wp:extent cx="6694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-2355850</wp:posOffset>
            </wp:positionV>
            <wp:extent cx="66948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-2904490</wp:posOffset>
            </wp:positionV>
            <wp:extent cx="66948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-1592580</wp:posOffset>
            </wp:positionV>
            <wp:extent cx="18516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7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35901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412"/>
          </w:cols>
          <w:pgMar w:left="168" w:top="257" w:right="319" w:bottom="1440" w:gutter="0" w:footer="0" w:header="0"/>
          <w:type w:val="continuous"/>
        </w:sectPr>
      </w:pPr>
    </w:p>
    <w:bookmarkStart w:id="2" w:name="page3"/>
    <w:bookmarkEnd w:id="2"/>
    <w:p>
      <w:pPr>
        <w:ind w:left="52"/>
        <w:spacing w:after="0"/>
        <w:rPr>
          <w:sz w:val="20"/>
          <w:szCs w:val="20"/>
          <w:color w:val="auto"/>
        </w:rPr>
      </w:pPr>
      <w:r>
        <w:rPr>
          <w:rFonts w:ascii="Arial" w:cs="Arial" w:eastAsia="Arial" w:hAnsi="Arial"/>
          <w:sz w:val="18"/>
          <w:szCs w:val="18"/>
          <w:color w:val="auto"/>
        </w:rPr>
        <w:t>CUSIP No. 60937P106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3380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72" w:hanging="640"/>
        <w:spacing w:after="0"/>
        <w:tabs>
          <w:tab w:leader="none" w:pos="1072"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72"/>
        <w:spacing w:after="0"/>
        <w:rPr>
          <w:rFonts w:ascii="Arial" w:cs="Arial" w:eastAsia="Arial" w:hAnsi="Arial"/>
          <w:sz w:val="18"/>
          <w:szCs w:val="18"/>
          <w:color w:val="auto"/>
        </w:rPr>
      </w:pPr>
      <w:r>
        <w:rPr>
          <w:rFonts w:ascii="Arial" w:cs="Arial" w:eastAsia="Arial" w:hAnsi="Arial"/>
          <w:sz w:val="16"/>
          <w:szCs w:val="16"/>
          <w:color w:val="auto"/>
        </w:rPr>
        <w:t>Future Fund Investment Company No.4 Pty Ltd (ACN 134 338 908)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54610</wp:posOffset>
            </wp:positionV>
            <wp:extent cx="66948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72" w:hanging="640"/>
        <w:spacing w:after="0"/>
        <w:tabs>
          <w:tab w:leader="none" w:pos="1072"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32" w:hanging="1166"/>
        <w:spacing w:after="0"/>
        <w:tabs>
          <w:tab w:leader="none" w:pos="2232"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32" w:hanging="1166"/>
        <w:spacing w:after="0"/>
        <w:tabs>
          <w:tab w:leader="none" w:pos="2232"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48895</wp:posOffset>
            </wp:positionV>
            <wp:extent cx="59493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1388745</wp:posOffset>
            </wp:positionH>
            <wp:positionV relativeFrom="paragraph">
              <wp:posOffset>-164465</wp:posOffset>
            </wp:positionV>
            <wp:extent cx="59493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49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72" w:hanging="640"/>
        <w:spacing w:after="0"/>
        <w:tabs>
          <w:tab w:leader="none" w:pos="10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48895</wp:posOffset>
            </wp:positionV>
            <wp:extent cx="66948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72" w:right="7720" w:hanging="640"/>
        <w:spacing w:after="0" w:line="277" w:lineRule="auto"/>
        <w:tabs>
          <w:tab w:leader="none" w:pos="10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14605</wp:posOffset>
            </wp:positionV>
            <wp:extent cx="66948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ectPr>
          <w:pgSz w:w="11900" w:h="16838" w:orient="portrait"/>
          <w:cols w:equalWidth="0" w:num="1">
            <w:col w:w="11412"/>
          </w:cols>
          <w:pgMar w:left="168" w:top="315" w:right="319" w:bottom="144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5597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975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1,331,238(1)(2)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5597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5597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1,331,238(1)(2)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5597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975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72" w:space="720"/>
            <w:col w:w="8620"/>
          </w:cols>
          <w:pgMar w:left="168" w:top="315" w:right="319" w:bottom="1440" w:gutter="0" w:footer="0" w:header="0"/>
          <w:type w:val="continuous"/>
        </w:sectPr>
      </w:pPr>
    </w:p>
    <w:p>
      <w:pPr>
        <w:spacing w:after="0" w:line="227" w:lineRule="exact"/>
        <w:rPr>
          <w:sz w:val="20"/>
          <w:szCs w:val="20"/>
          <w:color w:val="auto"/>
        </w:rPr>
      </w:pPr>
    </w:p>
    <w:p>
      <w:pPr>
        <w:ind w:left="1072" w:right="5540" w:hanging="640"/>
        <w:spacing w:after="0" w:line="277" w:lineRule="auto"/>
        <w:tabs>
          <w:tab w:leader="none" w:pos="10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1,331,238(1)(2)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14605</wp:posOffset>
            </wp:positionV>
            <wp:extent cx="6694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66" w:lineRule="exact"/>
        <w:rPr>
          <w:sz w:val="20"/>
          <w:szCs w:val="20"/>
          <w:color w:val="auto"/>
        </w:rPr>
      </w:pPr>
    </w:p>
    <w:p>
      <w:pPr>
        <w:ind w:left="1072" w:hanging="640"/>
        <w:spacing w:after="0"/>
        <w:tabs>
          <w:tab w:leader="none" w:pos="1072" w:val="left"/>
        </w:tabs>
        <w:numPr>
          <w:ilvl w:val="1"/>
          <w:numId w:val="1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72" w:hanging="640"/>
        <w:spacing w:after="0"/>
        <w:tabs>
          <w:tab w:leader="none" w:pos="1072"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72"/>
        <w:spacing w:after="0"/>
        <w:rPr>
          <w:rFonts w:ascii="Arial" w:cs="Arial" w:eastAsia="Arial" w:hAnsi="Arial"/>
          <w:sz w:val="18"/>
          <w:szCs w:val="18"/>
          <w:color w:val="auto"/>
        </w:rPr>
      </w:pPr>
      <w:r>
        <w:rPr>
          <w:rFonts w:ascii="Arial" w:cs="Arial" w:eastAsia="Arial" w:hAnsi="Arial"/>
          <w:sz w:val="18"/>
          <w:szCs w:val="18"/>
          <w:color w:val="auto"/>
        </w:rPr>
        <w:t>3.6%(3)(4)</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72" w:hanging="640"/>
        <w:spacing w:after="0"/>
        <w:tabs>
          <w:tab w:leader="none" w:pos="1072"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7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right="580" w:firstLine="8"/>
        <w:spacing w:after="0" w:line="258" w:lineRule="auto"/>
        <w:tabs>
          <w:tab w:leader="none" w:pos="2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1,331,238 shares of Class B common stock held of record by The Northern Trust Company in its capacity as custodian for Future Fund Investment Company No. 4 Pty Ltd, which is a wholly owned subsidiary of Future Fund Board of Guardians.</w:t>
      </w:r>
    </w:p>
    <w:p>
      <w:pPr>
        <w:spacing w:after="0" w:line="1" w:lineRule="exact"/>
        <w:rPr>
          <w:rFonts w:ascii="Arial" w:cs="Arial" w:eastAsia="Arial" w:hAnsi="Arial"/>
          <w:sz w:val="18"/>
          <w:szCs w:val="18"/>
          <w:color w:val="auto"/>
        </w:rPr>
      </w:pPr>
    </w:p>
    <w:p>
      <w:pPr>
        <w:ind w:left="252" w:hanging="252"/>
        <w:spacing w:after="0"/>
        <w:tabs>
          <w:tab w:leader="none" w:pos="2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share of Class B common stock is convertible at any time into one share of Class A common stock.</w:t>
      </w:r>
    </w:p>
    <w:p>
      <w:pPr>
        <w:spacing w:after="0" w:line="9" w:lineRule="exact"/>
        <w:rPr>
          <w:rFonts w:ascii="Arial" w:cs="Arial" w:eastAsia="Arial" w:hAnsi="Arial"/>
          <w:sz w:val="18"/>
          <w:szCs w:val="18"/>
          <w:color w:val="auto"/>
        </w:rPr>
      </w:pPr>
    </w:p>
    <w:p>
      <w:pPr>
        <w:ind w:left="-8" w:firstLine="8"/>
        <w:spacing w:after="0" w:line="281" w:lineRule="auto"/>
        <w:tabs>
          <w:tab w:leader="none" w:pos="2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the quotient obtained by dividing (a) the number of shares of Class B common stock beneficially owned by the Reporting Person as set forth in Row 9 by (b) the sum of 35,408,828 shares of Class A common stock outstanding as of December 3, 2018, as reported by the Issuer in its Quarterly Report on Form 10-Q for the quarterly period ended October 31, 2018 filed with the Securities and Exchange Commission on December 12, 2018, and 1,331,238 shares of Class B common stock beneficially owned by the Reporting Person. The shares of Class B common stock beneficially owned by the Reporting Person are treated as converted into Class A common stock only for the purpose of computing the percentage ownership of the Reporting Person.</w:t>
      </w:r>
    </w:p>
    <w:p>
      <w:pPr>
        <w:spacing w:after="0" w:line="2" w:lineRule="exact"/>
        <w:rPr>
          <w:rFonts w:ascii="Arial" w:cs="Arial" w:eastAsia="Arial" w:hAnsi="Arial"/>
          <w:sz w:val="16"/>
          <w:szCs w:val="16"/>
          <w:color w:val="auto"/>
        </w:rPr>
      </w:pPr>
    </w:p>
    <w:p>
      <w:pPr>
        <w:jc w:val="both"/>
        <w:ind w:left="-8" w:right="380" w:firstLine="8"/>
        <w:spacing w:after="0" w:line="255" w:lineRule="auto"/>
        <w:tabs>
          <w:tab w:leader="none" w:pos="2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per share, and each share of Class B common stock is entitled to ten votes per share. The percentage reported does not reflect the ten for one voting power of the Class B common stock because these shares are treated as converted into Class A common stock for the purpose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-1807210</wp:posOffset>
            </wp:positionV>
            <wp:extent cx="66948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-2355850</wp:posOffset>
            </wp:positionV>
            <wp:extent cx="66948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-2904490</wp:posOffset>
            </wp:positionV>
            <wp:extent cx="66948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-1592580</wp:posOffset>
            </wp:positionV>
            <wp:extent cx="18516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7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35901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412"/>
          </w:cols>
          <w:pgMar w:left="168" w:top="315" w:right="3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jc w:val="both"/>
        <w:ind w:left="1480" w:right="8800" w:hanging="506"/>
        <w:spacing w:after="0" w:line="342"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 of Issuer: MongoDB, Inc.</w:t>
      </w:r>
    </w:p>
    <w:p>
      <w:pPr>
        <w:spacing w:after="0" w:line="29" w:lineRule="exact"/>
        <w:rPr>
          <w:rFonts w:ascii="Arial" w:cs="Arial" w:eastAsia="Arial" w:hAnsi="Arial"/>
          <w:sz w:val="16"/>
          <w:szCs w:val="16"/>
          <w:color w:val="auto"/>
        </w:rPr>
      </w:pPr>
    </w:p>
    <w:p>
      <w:pPr>
        <w:ind w:left="1480" w:hanging="50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229 W. 43rd Street, 5th Floor, 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40005</wp:posOffset>
            </wp:positionV>
            <wp:extent cx="63950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-310515</wp:posOffset>
            </wp:positionV>
            <wp:extent cx="63950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80" w:hanging="50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Future Fund Board of Guardians</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Future Fund Investment Company No.4 Pty Ltd (ACN 134 338 908)</w:t>
      </w:r>
    </w:p>
    <w:p>
      <w:pPr>
        <w:spacing w:after="0" w:line="210" w:lineRule="exact"/>
        <w:rPr>
          <w:rFonts w:ascii="Arial" w:cs="Arial" w:eastAsia="Arial" w:hAnsi="Arial"/>
          <w:sz w:val="18"/>
          <w:szCs w:val="18"/>
          <w:color w:val="auto"/>
        </w:rPr>
      </w:pPr>
    </w:p>
    <w:p>
      <w:pPr>
        <w:ind w:left="1480"/>
        <w:spacing w:after="0" w:line="263" w:lineRule="auto"/>
        <w:rPr>
          <w:rFonts w:ascii="Arial" w:cs="Arial" w:eastAsia="Arial" w:hAnsi="Arial"/>
          <w:sz w:val="18"/>
          <w:szCs w:val="18"/>
          <w:color w:val="auto"/>
        </w:rPr>
      </w:pPr>
      <w:r>
        <w:rPr>
          <w:rFonts w:ascii="Arial" w:cs="Arial" w:eastAsia="Arial" w:hAnsi="Arial"/>
          <w:sz w:val="18"/>
          <w:szCs w:val="18"/>
          <w:color w:val="auto"/>
        </w:rPr>
        <w:t>The Reporting Persons have entered into a Joint Filing Agreement, a copy of which is attached as Exhibit 99.1 to this statement, pursuant to which the Reporting Persons have agreed to file this statement and any amendments thereto jointly in accordance with the provisions of Rule 13d-1(k)(1) promulgated under the Securities Exchange Act of 1934, as amended.</w:t>
      </w:r>
    </w:p>
    <w:p>
      <w:pPr>
        <w:spacing w:after="0" w:line="89" w:lineRule="exact"/>
        <w:rPr>
          <w:rFonts w:ascii="Arial" w:cs="Arial" w:eastAsia="Arial" w:hAnsi="Arial"/>
          <w:sz w:val="18"/>
          <w:szCs w:val="18"/>
          <w:color w:val="auto"/>
        </w:rPr>
      </w:pPr>
    </w:p>
    <w:p>
      <w:pPr>
        <w:jc w:val="both"/>
        <w:ind w:left="1480" w:right="5620" w:hanging="506"/>
        <w:spacing w:after="0" w:line="342"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Level 42, 120 Collins Street, Melbourne VIC 300, Australia</w:t>
      </w:r>
    </w:p>
    <w:p>
      <w:pPr>
        <w:spacing w:after="0" w:line="29" w:lineRule="exact"/>
        <w:rPr>
          <w:rFonts w:ascii="Arial" w:cs="Arial" w:eastAsia="Arial" w:hAnsi="Arial"/>
          <w:sz w:val="16"/>
          <w:szCs w:val="16"/>
          <w:color w:val="auto"/>
        </w:rPr>
      </w:pPr>
    </w:p>
    <w:p>
      <w:pPr>
        <w:ind w:left="1480" w:right="9080" w:hanging="506"/>
        <w:spacing w:after="0" w:line="308" w:lineRule="auto"/>
        <w:tabs>
          <w:tab w:leader="none" w:pos="1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Citizenship: Australia</w:t>
      </w:r>
    </w:p>
    <w:p>
      <w:pPr>
        <w:spacing w:after="0" w:line="51" w:lineRule="exact"/>
        <w:rPr>
          <w:rFonts w:ascii="Arial" w:cs="Arial" w:eastAsia="Arial" w:hAnsi="Arial"/>
          <w:sz w:val="17"/>
          <w:szCs w:val="17"/>
          <w:color w:val="auto"/>
        </w:rPr>
      </w:pPr>
    </w:p>
    <w:p>
      <w:pPr>
        <w:ind w:left="1480" w:hanging="50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Title and Class of Securities:</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Class A Common Stock, $0.001 par value per share</w:t>
      </w:r>
    </w:p>
    <w:p>
      <w:pPr>
        <w:spacing w:after="0" w:line="116" w:lineRule="exact"/>
        <w:rPr>
          <w:rFonts w:ascii="Arial" w:cs="Arial" w:eastAsia="Arial" w:hAnsi="Arial"/>
          <w:sz w:val="18"/>
          <w:szCs w:val="18"/>
          <w:color w:val="auto"/>
        </w:rPr>
      </w:pPr>
    </w:p>
    <w:p>
      <w:pPr>
        <w:jc w:val="both"/>
        <w:ind w:left="1480" w:right="9080" w:hanging="506"/>
        <w:spacing w:after="0" w:line="308" w:lineRule="auto"/>
        <w:tabs>
          <w:tab w:leader="none" w:pos="1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CUSIP No.: 60937P106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0</wp:posOffset>
            </wp:positionV>
            <wp:extent cx="63950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-351790</wp:posOffset>
            </wp:positionV>
            <wp:extent cx="63950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-702945</wp:posOffset>
            </wp:positionV>
            <wp:extent cx="63950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-1054735</wp:posOffset>
            </wp:positionV>
            <wp:extent cx="63950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-1405890</wp:posOffset>
            </wp:positionV>
            <wp:extent cx="63950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95085" cy="8890"/>
                    </a:xfrm>
                    <a:prstGeom prst="rect">
                      <a:avLst/>
                    </a:prstGeom>
                    <a:noFill/>
                  </pic:spPr>
                </pic:pic>
              </a:graphicData>
            </a:graphic>
          </wp:anchor>
        </w:drawing>
      </w:r>
    </w:p>
    <w:p>
      <w:pPr>
        <w:spacing w:after="0" w:line="3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35901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440"/>
          </w:cols>
          <w:pgMar w:left="220" w:top="311" w:right="23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75" w:lineRule="exact"/>
        <w:rPr>
          <w:sz w:val="20"/>
          <w:szCs w:val="20"/>
          <w:color w:val="auto"/>
        </w:rPr>
      </w:pPr>
    </w:p>
    <w:p>
      <w:pPr>
        <w:ind w:left="1540" w:right="7180" w:hanging="386"/>
        <w:spacing w:after="0" w:line="340"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beneficially owned: 1,331,238</w:t>
      </w:r>
    </w:p>
    <w:p>
      <w:pPr>
        <w:spacing w:after="0" w:line="129" w:lineRule="exact"/>
        <w:rPr>
          <w:rFonts w:ascii="Arial" w:cs="Arial" w:eastAsia="Arial" w:hAnsi="Arial"/>
          <w:sz w:val="18"/>
          <w:szCs w:val="18"/>
          <w:color w:val="auto"/>
        </w:rPr>
      </w:pPr>
    </w:p>
    <w:p>
      <w:pPr>
        <w:ind w:left="1540" w:hanging="391"/>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3.6%</w:t>
      </w:r>
    </w:p>
    <w:p>
      <w:pPr>
        <w:spacing w:after="0" w:line="238" w:lineRule="exact"/>
        <w:rPr>
          <w:rFonts w:ascii="Arial" w:cs="Arial" w:eastAsia="Arial" w:hAnsi="Arial"/>
          <w:sz w:val="18"/>
          <w:szCs w:val="18"/>
          <w:color w:val="auto"/>
        </w:rPr>
      </w:pPr>
    </w:p>
    <w:p>
      <w:pPr>
        <w:ind w:left="1540" w:hanging="386"/>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254635</wp:posOffset>
            </wp:positionV>
            <wp:extent cx="60432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43295" cy="8890"/>
                    </a:xfrm>
                    <a:prstGeom prst="rect">
                      <a:avLst/>
                    </a:prstGeom>
                    <a:noFill/>
                  </pic:spPr>
                </pic:pic>
              </a:graphicData>
            </a:graphic>
          </wp:anchor>
        </w:drawing>
        <w:drawing>
          <wp:anchor simplePos="0" relativeHeight="251657728" behindDoc="1" locked="0" layoutInCell="0" allowOverlap="1">
            <wp:simplePos x="0" y="0"/>
            <wp:positionH relativeFrom="column">
              <wp:posOffset>941705</wp:posOffset>
            </wp:positionH>
            <wp:positionV relativeFrom="paragraph">
              <wp:posOffset>-198755</wp:posOffset>
            </wp:positionV>
            <wp:extent cx="60432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43295" cy="8255"/>
                    </a:xfrm>
                    <a:prstGeom prst="rect">
                      <a:avLst/>
                    </a:prstGeom>
                    <a:noFill/>
                  </pic:spPr>
                </pic:pic>
              </a:graphicData>
            </a:graphic>
          </wp:anchor>
        </w:drawing>
        <w:drawing>
          <wp:anchor simplePos="0" relativeHeight="251657728" behindDoc="1" locked="0" layoutInCell="0" allowOverlap="1">
            <wp:simplePos x="0" y="0"/>
            <wp:positionH relativeFrom="column">
              <wp:posOffset>941705</wp:posOffset>
            </wp:positionH>
            <wp:positionV relativeFrom="paragraph">
              <wp:posOffset>-653415</wp:posOffset>
            </wp:positionV>
            <wp:extent cx="60432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432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140" w:right="5780" w:hanging="438"/>
        <w:spacing w:after="0" w:line="340" w:lineRule="auto"/>
        <w:tabs>
          <w:tab w:leader="none" w:pos="2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13970</wp:posOffset>
            </wp:positionV>
            <wp:extent cx="56578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09" w:lineRule="exact"/>
        <w:rPr>
          <w:sz w:val="20"/>
          <w:szCs w:val="20"/>
          <w:color w:val="auto"/>
        </w:rPr>
      </w:pPr>
    </w:p>
    <w:p>
      <w:pPr>
        <w:ind w:left="2140" w:right="5600" w:hanging="463"/>
        <w:spacing w:after="0" w:line="340" w:lineRule="auto"/>
        <w:tabs>
          <w:tab w:leader="none" w:pos="2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 1,331,238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13970</wp:posOffset>
            </wp:positionV>
            <wp:extent cx="56578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09" w:lineRule="exact"/>
        <w:rPr>
          <w:sz w:val="20"/>
          <w:szCs w:val="20"/>
          <w:color w:val="auto"/>
        </w:rPr>
      </w:pPr>
    </w:p>
    <w:p>
      <w:pPr>
        <w:ind w:left="2140" w:right="4880" w:hanging="488"/>
        <w:spacing w:after="0" w:line="340" w:lineRule="auto"/>
        <w:tabs>
          <w:tab w:leader="none" w:pos="2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29" w:lineRule="exact"/>
        <w:rPr>
          <w:rFonts w:ascii="Arial" w:cs="Arial" w:eastAsia="Arial" w:hAnsi="Arial"/>
          <w:sz w:val="18"/>
          <w:szCs w:val="18"/>
          <w:color w:val="auto"/>
        </w:rPr>
      </w:pPr>
    </w:p>
    <w:p>
      <w:pPr>
        <w:ind w:left="2140" w:right="4700" w:hanging="483"/>
        <w:spacing w:after="0" w:line="340" w:lineRule="auto"/>
        <w:tabs>
          <w:tab w:leader="none" w:pos="2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1,331,238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13970</wp:posOffset>
            </wp:positionV>
            <wp:extent cx="56578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1327150</wp:posOffset>
            </wp:positionH>
            <wp:positionV relativeFrom="paragraph">
              <wp:posOffset>-440055</wp:posOffset>
            </wp:positionV>
            <wp:extent cx="56578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6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8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80" w:right="360" w:hanging="107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640"/>
        <w:spacing w:after="0" w:line="301" w:lineRule="auto"/>
        <w:rPr>
          <w:sz w:val="20"/>
          <w:szCs w:val="20"/>
          <w:color w:val="auto"/>
        </w:rPr>
      </w:pPr>
      <w:r>
        <w:rPr>
          <w:rFonts w:ascii="Arial" w:cs="Arial" w:eastAsia="Arial" w:hAnsi="Arial"/>
          <w:sz w:val="16"/>
          <w:szCs w:val="16"/>
          <w:color w:val="auto"/>
        </w:rPr>
        <w:t>Future Fund Investment Company No.4 Pty Ltd holds, indirectly through The Northern Trust Company, a company incorporated in the State of Illinois, in its capacity as custodian for the Reporting Person, the ownership interest reported herein in MongoDB, Inc.By virtue of Future Fund Board of Guardians being the parent of Future Fund Investment Company No.4 Pty Ltd, Future Fund Board of Guardians may be deemed to share beneficial ownership of the shares beneficially held by Future Fund Investment Company No.4 Pty Ltd.</w:t>
      </w:r>
    </w:p>
    <w:p>
      <w:pPr>
        <w:spacing w:after="0" w:line="36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81280</wp:posOffset>
            </wp:positionV>
            <wp:extent cx="735901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0780"/>
          </w:cols>
          <w:pgMar w:left="440" w:top="311" w:right="679" w:bottom="1440" w:gutter="0" w:footer="0" w:header="0"/>
        </w:sectPr>
      </w:pPr>
    </w:p>
    <w:bookmarkStart w:id="5" w:name="page6"/>
    <w:bookmarkEnd w:id="5"/>
    <w:p>
      <w:pPr>
        <w:ind w:left="120"/>
        <w:spacing w:after="0"/>
        <w:tabs>
          <w:tab w:leader="none" w:pos="12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760" w:right="38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Future Fund Board of Guardians </w:t>
      </w:r>
      <w:r>
        <w:rPr>
          <w:rFonts w:ascii="Arial" w:cs="Arial" w:eastAsia="Arial" w:hAnsi="Arial"/>
          <w:sz w:val="18"/>
          <w:szCs w:val="18"/>
          <w:color w:val="auto"/>
        </w:rPr>
        <w:t>by:</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Cameron Price</w:t>
            </w:r>
          </w:p>
        </w:tc>
        <w:tc>
          <w:tcPr>
            <w:tcW w:w="22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Mann</w:t>
            </w:r>
          </w:p>
        </w:tc>
        <w:tc>
          <w:tcPr>
            <w:tcW w:w="40" w:type="dxa"/>
            <w:vAlign w:val="bottom"/>
          </w:tcPr>
          <w:p>
            <w:pPr>
              <w:spacing w:after="0"/>
              <w:rPr>
                <w:sz w:val="20"/>
                <w:szCs w:val="20"/>
                <w:color w:val="auto"/>
              </w:rPr>
            </w:pPr>
          </w:p>
        </w:tc>
      </w:tr>
      <w:tr>
        <w:trPr>
          <w:trHeight w:val="224"/>
        </w:trPr>
        <w:tc>
          <w:tcPr>
            <w:tcW w:w="5640" w:type="dxa"/>
            <w:vAlign w:val="bottom"/>
          </w:tcPr>
          <w:p>
            <w:pPr>
              <w:spacing w:after="0"/>
              <w:rPr>
                <w:sz w:val="20"/>
                <w:szCs w:val="20"/>
                <w:color w:val="auto"/>
              </w:rPr>
            </w:pPr>
            <w:r>
              <w:rPr>
                <w:rFonts w:ascii="Arial" w:cs="Arial" w:eastAsia="Arial" w:hAnsi="Arial"/>
                <w:sz w:val="18"/>
                <w:szCs w:val="18"/>
                <w:color w:val="auto"/>
              </w:rPr>
              <w:t>Signature of Authorised Signatory</w:t>
            </w:r>
          </w:p>
        </w:tc>
        <w:tc>
          <w:tcPr>
            <w:tcW w:w="2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Signature of Authorised Signatory</w:t>
            </w:r>
          </w:p>
        </w:tc>
        <w:tc>
          <w:tcPr>
            <w:tcW w:w="40" w:type="dxa"/>
            <w:vAlign w:val="bottom"/>
          </w:tcPr>
          <w:p>
            <w:pPr>
              <w:spacing w:after="0"/>
              <w:rPr>
                <w:sz w:val="19"/>
                <w:szCs w:val="19"/>
                <w:color w:val="auto"/>
              </w:rPr>
            </w:pPr>
          </w:p>
        </w:tc>
      </w:tr>
      <w:tr>
        <w:trPr>
          <w:trHeight w:val="418"/>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Cameron Price</w:t>
            </w:r>
          </w:p>
        </w:tc>
        <w:tc>
          <w:tcPr>
            <w:tcW w:w="2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Mann</w:t>
            </w:r>
          </w:p>
        </w:tc>
        <w:tc>
          <w:tcPr>
            <w:tcW w:w="40" w:type="dxa"/>
            <w:vAlign w:val="bottom"/>
          </w:tcPr>
          <w:p>
            <w:pPr>
              <w:spacing w:after="0"/>
              <w:rPr>
                <w:sz w:val="24"/>
                <w:szCs w:val="24"/>
                <w:color w:val="auto"/>
              </w:rPr>
            </w:pPr>
          </w:p>
        </w:tc>
      </w:tr>
      <w:tr>
        <w:trPr>
          <w:trHeight w:val="224"/>
        </w:trPr>
        <w:tc>
          <w:tcPr>
            <w:tcW w:w="5640" w:type="dxa"/>
            <w:vAlign w:val="bottom"/>
          </w:tcPr>
          <w:p>
            <w:pPr>
              <w:spacing w:after="0"/>
              <w:rPr>
                <w:sz w:val="20"/>
                <w:szCs w:val="20"/>
                <w:color w:val="auto"/>
              </w:rPr>
            </w:pPr>
            <w:r>
              <w:rPr>
                <w:rFonts w:ascii="Arial" w:cs="Arial" w:eastAsia="Arial" w:hAnsi="Arial"/>
                <w:sz w:val="18"/>
                <w:szCs w:val="18"/>
                <w:color w:val="auto"/>
              </w:rPr>
              <w:t>Name of Authorised Signatory</w:t>
            </w:r>
          </w:p>
        </w:tc>
        <w:tc>
          <w:tcPr>
            <w:tcW w:w="2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Name of Authorised Signatory</w:t>
            </w:r>
          </w:p>
        </w:tc>
        <w:tc>
          <w:tcPr>
            <w:tcW w:w="40" w:type="dxa"/>
            <w:vAlign w:val="bottom"/>
          </w:tcPr>
          <w:p>
            <w:pPr>
              <w:spacing w:after="0"/>
              <w:rPr>
                <w:sz w:val="19"/>
                <w:szCs w:val="19"/>
                <w:color w:val="auto"/>
              </w:rPr>
            </w:pPr>
          </w:p>
        </w:tc>
      </w:tr>
      <w:tr>
        <w:trPr>
          <w:trHeight w:val="634"/>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Future Fund Investment Company No.4 Pty Ltd </w:t>
            </w: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8"/>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Mann</w:t>
            </w:r>
          </w:p>
        </w:tc>
        <w:tc>
          <w:tcPr>
            <w:tcW w:w="2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Kylie Yong</w:t>
            </w:r>
          </w:p>
        </w:tc>
        <w:tc>
          <w:tcPr>
            <w:tcW w:w="40" w:type="dxa"/>
            <w:vAlign w:val="bottom"/>
          </w:tcPr>
          <w:p>
            <w:pPr>
              <w:spacing w:after="0"/>
              <w:rPr>
                <w:sz w:val="24"/>
                <w:szCs w:val="24"/>
                <w:color w:val="auto"/>
              </w:rPr>
            </w:pPr>
          </w:p>
        </w:tc>
      </w:tr>
      <w:tr>
        <w:trPr>
          <w:trHeight w:val="224"/>
        </w:trPr>
        <w:tc>
          <w:tcPr>
            <w:tcW w:w="5640" w:type="dxa"/>
            <w:vAlign w:val="bottom"/>
          </w:tcPr>
          <w:p>
            <w:pPr>
              <w:spacing w:after="0"/>
              <w:rPr>
                <w:sz w:val="20"/>
                <w:szCs w:val="20"/>
                <w:color w:val="auto"/>
              </w:rPr>
            </w:pPr>
            <w:r>
              <w:rPr>
                <w:rFonts w:ascii="Arial" w:cs="Arial" w:eastAsia="Arial" w:hAnsi="Arial"/>
                <w:sz w:val="18"/>
                <w:szCs w:val="18"/>
                <w:color w:val="auto"/>
              </w:rPr>
              <w:t>Signature of Director</w:t>
            </w:r>
          </w:p>
        </w:tc>
        <w:tc>
          <w:tcPr>
            <w:tcW w:w="2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Signature of Company Secretary</w:t>
            </w:r>
          </w:p>
        </w:tc>
        <w:tc>
          <w:tcPr>
            <w:tcW w:w="40" w:type="dxa"/>
            <w:vAlign w:val="bottom"/>
          </w:tcPr>
          <w:p>
            <w:pPr>
              <w:spacing w:after="0"/>
              <w:rPr>
                <w:sz w:val="19"/>
                <w:szCs w:val="19"/>
                <w:color w:val="auto"/>
              </w:rPr>
            </w:pPr>
          </w:p>
        </w:tc>
      </w:tr>
      <w:tr>
        <w:trPr>
          <w:trHeight w:val="418"/>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Mann</w:t>
            </w:r>
          </w:p>
        </w:tc>
        <w:tc>
          <w:tcPr>
            <w:tcW w:w="2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Kylie Yong</w:t>
            </w:r>
          </w:p>
        </w:tc>
        <w:tc>
          <w:tcPr>
            <w:tcW w:w="40" w:type="dxa"/>
            <w:vAlign w:val="bottom"/>
          </w:tcPr>
          <w:p>
            <w:pPr>
              <w:spacing w:after="0"/>
              <w:rPr>
                <w:sz w:val="24"/>
                <w:szCs w:val="24"/>
                <w:color w:val="auto"/>
              </w:rPr>
            </w:pPr>
          </w:p>
        </w:tc>
      </w:tr>
      <w:tr>
        <w:trPr>
          <w:trHeight w:val="224"/>
        </w:trPr>
        <w:tc>
          <w:tcPr>
            <w:tcW w:w="5640" w:type="dxa"/>
            <w:vAlign w:val="bottom"/>
          </w:tcPr>
          <w:p>
            <w:pPr>
              <w:spacing w:after="0"/>
              <w:rPr>
                <w:sz w:val="20"/>
                <w:szCs w:val="20"/>
                <w:color w:val="auto"/>
              </w:rPr>
            </w:pPr>
            <w:r>
              <w:rPr>
                <w:rFonts w:ascii="Arial" w:cs="Arial" w:eastAsia="Arial" w:hAnsi="Arial"/>
                <w:sz w:val="18"/>
                <w:szCs w:val="18"/>
                <w:color w:val="auto"/>
              </w:rPr>
              <w:t>Name of Director</w:t>
            </w:r>
          </w:p>
        </w:tc>
        <w:tc>
          <w:tcPr>
            <w:tcW w:w="2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Name of Company Secretary</w:t>
            </w:r>
          </w:p>
        </w:tc>
        <w:tc>
          <w:tcPr>
            <w:tcW w:w="40" w:type="dxa"/>
            <w:vAlign w:val="bottom"/>
          </w:tcPr>
          <w:p>
            <w:pPr>
              <w:spacing w:after="0"/>
              <w:rPr>
                <w:sz w:val="19"/>
                <w:szCs w:val="19"/>
                <w:color w:val="auto"/>
              </w:rPr>
            </w:pPr>
          </w:p>
        </w:tc>
      </w:tr>
      <w:tr>
        <w:trPr>
          <w:trHeight w:val="418"/>
        </w:trPr>
        <w:tc>
          <w:tcPr>
            <w:tcW w:w="56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311" w:right="1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1480" w:hanging="1470"/>
        <w:spacing w:after="0" w:line="277" w:lineRule="auto"/>
        <w:tabs>
          <w:tab w:leader="none" w:pos="14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color w:val="auto"/>
        </w:rPr>
        <w:t>Joint Filing Agreement, dated as of February 6, 2018, by and between Future Fund Board of Guardians and Future Fund Investment Company No. 4 Pty Ltd.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0980"/>
          </w:cols>
          <w:pgMar w:left="160" w:top="257" w:right="7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5" w:lineRule="exact"/>
        <w:rPr>
          <w:sz w:val="20"/>
          <w:szCs w:val="20"/>
          <w:color w:val="auto"/>
        </w:rPr>
      </w:pPr>
    </w:p>
    <w:p>
      <w:pPr>
        <w:ind w:right="300" w:firstLine="648"/>
        <w:spacing w:after="0" w:line="312"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JOINT FILING AGREEMENT</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February 6, 2018, by and between Future Fund Board of Guardians (“</w:t>
      </w:r>
      <w:r>
        <w:rPr>
          <w:rFonts w:ascii="Arial" w:cs="Arial" w:eastAsia="Arial" w:hAnsi="Arial"/>
          <w:sz w:val="17"/>
          <w:szCs w:val="17"/>
          <w:u w:val="single" w:color="auto"/>
          <w:color w:val="auto"/>
        </w:rPr>
        <w:t>FFBG</w:t>
      </w:r>
      <w:r>
        <w:rPr>
          <w:rFonts w:ascii="Arial" w:cs="Arial" w:eastAsia="Arial" w:hAnsi="Arial"/>
          <w:sz w:val="17"/>
          <w:szCs w:val="17"/>
          <w:color w:val="auto"/>
        </w:rPr>
        <w:t>”) and Future Fund Investment Company No.4 Pty Ltd (ACN 134 338 908) (“</w:t>
      </w:r>
      <w:r>
        <w:rPr>
          <w:rFonts w:ascii="Arial" w:cs="Arial" w:eastAsia="Arial" w:hAnsi="Arial"/>
          <w:sz w:val="17"/>
          <w:szCs w:val="17"/>
          <w:u w:val="single" w:color="auto"/>
          <w:color w:val="auto"/>
        </w:rPr>
        <w:t>FF</w:t>
      </w:r>
      <w:r>
        <w:rPr>
          <w:rFonts w:ascii="Arial" w:cs="Arial" w:eastAsia="Arial" w:hAnsi="Arial"/>
          <w:sz w:val="17"/>
          <w:szCs w:val="17"/>
          <w:color w:val="auto"/>
        </w:rPr>
        <w:t>” and together with FFBG, the “</w:t>
      </w:r>
      <w:r>
        <w:rPr>
          <w:rFonts w:ascii="Arial" w:cs="Arial" w:eastAsia="Arial" w:hAnsi="Arial"/>
          <w:sz w:val="17"/>
          <w:szCs w:val="17"/>
          <w:u w:val="single" w:color="auto"/>
          <w:color w:val="auto"/>
        </w:rPr>
        <w:t>FF Parties</w:t>
      </w:r>
      <w:r>
        <w:rPr>
          <w:rFonts w:ascii="Arial" w:cs="Arial" w:eastAsia="Arial" w:hAnsi="Arial"/>
          <w:sz w:val="17"/>
          <w:szCs w:val="17"/>
          <w:color w:val="auto"/>
        </w:rPr>
        <w:t>”).</w:t>
      </w:r>
    </w:p>
    <w:p>
      <w:pPr>
        <w:spacing w:after="0" w:line="14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FF Parties hereby acknowledge and agree that the Statement on Schedule 13G to which this Agreement is attached as an exhibit (the “</w:t>
      </w:r>
      <w:r>
        <w:rPr>
          <w:rFonts w:ascii="Arial" w:cs="Arial" w:eastAsia="Arial" w:hAnsi="Arial"/>
          <w:sz w:val="16"/>
          <w:szCs w:val="16"/>
          <w:u w:val="single" w:color="auto"/>
          <w:color w:val="auto"/>
        </w:rPr>
        <w:t>Statement</w:t>
      </w:r>
      <w:r>
        <w:rPr>
          <w:rFonts w:ascii="Arial" w:cs="Arial" w:eastAsia="Arial" w:hAnsi="Arial"/>
          <w:sz w:val="16"/>
          <w:szCs w:val="16"/>
          <w:color w:val="auto"/>
        </w:rPr>
        <w:t>”), relating to the Class A common stock, par value $0.001 per share, of MongoDB, Inc., is filed with the Securities and Exchange Commission pursuant to</w:t>
      </w:r>
    </w:p>
    <w:p>
      <w:pPr>
        <w:ind w:right="60"/>
        <w:spacing w:after="0" w:line="253" w:lineRule="auto"/>
        <w:rPr>
          <w:sz w:val="20"/>
          <w:szCs w:val="20"/>
          <w:color w:val="auto"/>
        </w:rPr>
      </w:pPr>
      <w:r>
        <w:rPr>
          <w:rFonts w:ascii="Arial" w:cs="Arial" w:eastAsia="Arial" w:hAnsi="Arial"/>
          <w:sz w:val="18"/>
          <w:szCs w:val="18"/>
          <w:color w:val="auto"/>
        </w:rPr>
        <w:t>Rule 13d-1(k) under the Securities Exchange Act of 1934, as amended, on behalf of each of the FF Parties and that any subsequent amendments to the Statement shall be filed on behalf of each of the FF Parties without the necessity of filing additional joint filing agreements. Each FF Party acknowledges that it shall be responsible for the timely filing of any such amendments and for the completeness and accuracy of the information concerning him or it contained herein and therein, but shall not be responsible for the completeness or accuracy of the information concerning the other FF Party, except to the extent it knows or has reason to believe that such information is inaccurate.</w:t>
      </w:r>
    </w:p>
    <w:p>
      <w:pPr>
        <w:spacing w:after="0" w:line="19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deemed to be an original, but all of which together shall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35901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41" w:right="17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undersigned hereby executes this Agreement as of the date first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Future Fund Board of Guardians </w:t>
            </w:r>
            <w:r>
              <w:rPr>
                <w:rFonts w:ascii="Arial" w:cs="Arial" w:eastAsia="Arial" w:hAnsi="Arial"/>
                <w:sz w:val="18"/>
                <w:szCs w:val="18"/>
                <w:color w:val="auto"/>
              </w:rPr>
              <w:t>by:</w:t>
            </w:r>
          </w:p>
        </w:tc>
        <w:tc>
          <w:tcPr>
            <w:tcW w:w="5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/s/ Cameron Price</w:t>
            </w:r>
          </w:p>
        </w:tc>
        <w:tc>
          <w:tcPr>
            <w:tcW w:w="5780" w:type="dxa"/>
            <w:vAlign w:val="bottom"/>
          </w:tcPr>
          <w:p>
            <w:pPr>
              <w:spacing w:after="0"/>
              <w:rPr>
                <w:sz w:val="20"/>
                <w:szCs w:val="20"/>
                <w:color w:val="auto"/>
              </w:rPr>
            </w:pPr>
            <w:r>
              <w:rPr>
                <w:rFonts w:ascii="Arial" w:cs="Arial" w:eastAsia="Arial" w:hAnsi="Arial"/>
                <w:sz w:val="18"/>
                <w:szCs w:val="18"/>
                <w:color w:val="auto"/>
              </w:rPr>
              <w:t>/s/ Paul Mann</w:t>
            </w:r>
          </w:p>
        </w:tc>
        <w:tc>
          <w:tcPr>
            <w:tcW w:w="40" w:type="dxa"/>
            <w:vAlign w:val="bottom"/>
          </w:tcPr>
          <w:p>
            <w:pPr>
              <w:spacing w:after="0"/>
              <w:rPr>
                <w:sz w:val="24"/>
                <w:szCs w:val="24"/>
                <w:color w:val="auto"/>
              </w:rPr>
            </w:pPr>
          </w:p>
        </w:tc>
      </w:tr>
      <w:tr>
        <w:trPr>
          <w:trHeight w:val="224"/>
        </w:trPr>
        <w:tc>
          <w:tcPr>
            <w:tcW w:w="5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Authorised Signatory</w:t>
            </w:r>
          </w:p>
        </w:tc>
        <w:tc>
          <w:tcPr>
            <w:tcW w:w="380" w:type="dxa"/>
            <w:vAlign w:val="bottom"/>
          </w:tcPr>
          <w:p>
            <w:pPr>
              <w:spacing w:after="0"/>
              <w:rPr>
                <w:sz w:val="19"/>
                <w:szCs w:val="19"/>
                <w:color w:val="auto"/>
              </w:rPr>
            </w:pPr>
          </w:p>
        </w:tc>
        <w:tc>
          <w:tcPr>
            <w:tcW w:w="5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Authorised Signatory</w:t>
            </w:r>
          </w:p>
        </w:tc>
        <w:tc>
          <w:tcPr>
            <w:tcW w:w="40" w:type="dxa"/>
            <w:vAlign w:val="bottom"/>
          </w:tcPr>
          <w:p>
            <w:pPr>
              <w:spacing w:after="0"/>
              <w:rPr>
                <w:sz w:val="19"/>
                <w:szCs w:val="19"/>
                <w:color w:val="auto"/>
              </w:rPr>
            </w:pPr>
          </w:p>
        </w:tc>
      </w:tr>
      <w:tr>
        <w:trPr>
          <w:trHeight w:val="418"/>
        </w:trPr>
        <w:tc>
          <w:tcPr>
            <w:tcW w:w="5780" w:type="dxa"/>
            <w:vAlign w:val="bottom"/>
            <w:gridSpan w:val="2"/>
          </w:tcPr>
          <w:p>
            <w:pPr>
              <w:spacing w:after="0"/>
              <w:rPr>
                <w:sz w:val="20"/>
                <w:szCs w:val="20"/>
                <w:color w:val="auto"/>
              </w:rPr>
            </w:pPr>
            <w:r>
              <w:rPr>
                <w:rFonts w:ascii="Arial" w:cs="Arial" w:eastAsia="Arial" w:hAnsi="Arial"/>
                <w:sz w:val="18"/>
                <w:szCs w:val="18"/>
                <w:color w:val="auto"/>
              </w:rPr>
              <w:t>Cameron Price</w:t>
            </w:r>
          </w:p>
        </w:tc>
        <w:tc>
          <w:tcPr>
            <w:tcW w:w="5780" w:type="dxa"/>
            <w:vAlign w:val="bottom"/>
          </w:tcPr>
          <w:p>
            <w:pPr>
              <w:spacing w:after="0"/>
              <w:rPr>
                <w:sz w:val="20"/>
                <w:szCs w:val="20"/>
                <w:color w:val="auto"/>
              </w:rPr>
            </w:pPr>
            <w:r>
              <w:rPr>
                <w:rFonts w:ascii="Arial" w:cs="Arial" w:eastAsia="Arial" w:hAnsi="Arial"/>
                <w:sz w:val="18"/>
                <w:szCs w:val="18"/>
                <w:color w:val="auto"/>
              </w:rPr>
              <w:t>Paul Mann</w:t>
            </w:r>
          </w:p>
        </w:tc>
        <w:tc>
          <w:tcPr>
            <w:tcW w:w="40" w:type="dxa"/>
            <w:vAlign w:val="bottom"/>
          </w:tcPr>
          <w:p>
            <w:pPr>
              <w:spacing w:after="0"/>
              <w:rPr>
                <w:sz w:val="24"/>
                <w:szCs w:val="24"/>
                <w:color w:val="auto"/>
              </w:rPr>
            </w:pPr>
          </w:p>
        </w:tc>
      </w:tr>
      <w:tr>
        <w:trPr>
          <w:trHeight w:val="224"/>
        </w:trPr>
        <w:tc>
          <w:tcPr>
            <w:tcW w:w="5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Authorised Signatory</w:t>
            </w:r>
          </w:p>
        </w:tc>
        <w:tc>
          <w:tcPr>
            <w:tcW w:w="380" w:type="dxa"/>
            <w:vAlign w:val="bottom"/>
          </w:tcPr>
          <w:p>
            <w:pPr>
              <w:spacing w:after="0"/>
              <w:rPr>
                <w:sz w:val="19"/>
                <w:szCs w:val="19"/>
                <w:color w:val="auto"/>
              </w:rPr>
            </w:pPr>
          </w:p>
        </w:tc>
        <w:tc>
          <w:tcPr>
            <w:tcW w:w="5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Authorised Signatory</w:t>
            </w:r>
          </w:p>
        </w:tc>
        <w:tc>
          <w:tcPr>
            <w:tcW w:w="40" w:type="dxa"/>
            <w:vAlign w:val="bottom"/>
          </w:tcPr>
          <w:p>
            <w:pPr>
              <w:spacing w:after="0"/>
              <w:rPr>
                <w:sz w:val="19"/>
                <w:szCs w:val="19"/>
                <w:color w:val="auto"/>
              </w:rPr>
            </w:pPr>
          </w:p>
        </w:tc>
      </w:tr>
      <w:tr>
        <w:trPr>
          <w:trHeight w:val="418"/>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Future Fund Investment Company No.4 Pty Ltd </w:t>
            </w:r>
            <w:r>
              <w:rPr>
                <w:rFonts w:ascii="Arial" w:cs="Arial" w:eastAsia="Arial" w:hAnsi="Arial"/>
                <w:sz w:val="18"/>
                <w:szCs w:val="18"/>
                <w:color w:val="auto"/>
              </w:rPr>
              <w:t>by:</w:t>
            </w:r>
          </w:p>
        </w:tc>
        <w:tc>
          <w:tcPr>
            <w:tcW w:w="5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/s/ Paul Mann</w:t>
            </w:r>
          </w:p>
        </w:tc>
        <w:tc>
          <w:tcPr>
            <w:tcW w:w="5780" w:type="dxa"/>
            <w:vAlign w:val="bottom"/>
          </w:tcPr>
          <w:p>
            <w:pPr>
              <w:spacing w:after="0"/>
              <w:rPr>
                <w:sz w:val="20"/>
                <w:szCs w:val="20"/>
                <w:color w:val="auto"/>
              </w:rPr>
            </w:pPr>
            <w:r>
              <w:rPr>
                <w:rFonts w:ascii="Arial" w:cs="Arial" w:eastAsia="Arial" w:hAnsi="Arial"/>
                <w:sz w:val="18"/>
                <w:szCs w:val="18"/>
                <w:color w:val="auto"/>
              </w:rPr>
              <w:t>/s/ Kylie Yong</w:t>
            </w:r>
          </w:p>
        </w:tc>
        <w:tc>
          <w:tcPr>
            <w:tcW w:w="40" w:type="dxa"/>
            <w:vAlign w:val="bottom"/>
          </w:tcPr>
          <w:p>
            <w:pPr>
              <w:spacing w:after="0"/>
              <w:rPr>
                <w:sz w:val="24"/>
                <w:szCs w:val="24"/>
                <w:color w:val="auto"/>
              </w:rPr>
            </w:pPr>
          </w:p>
        </w:tc>
      </w:tr>
      <w:tr>
        <w:trPr>
          <w:trHeight w:val="224"/>
        </w:trPr>
        <w:tc>
          <w:tcPr>
            <w:tcW w:w="5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Director</w:t>
            </w:r>
          </w:p>
        </w:tc>
        <w:tc>
          <w:tcPr>
            <w:tcW w:w="380" w:type="dxa"/>
            <w:vAlign w:val="bottom"/>
          </w:tcPr>
          <w:p>
            <w:pPr>
              <w:spacing w:after="0"/>
              <w:rPr>
                <w:sz w:val="19"/>
                <w:szCs w:val="19"/>
                <w:color w:val="auto"/>
              </w:rPr>
            </w:pPr>
          </w:p>
        </w:tc>
        <w:tc>
          <w:tcPr>
            <w:tcW w:w="5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Company Secretary</w:t>
            </w:r>
          </w:p>
        </w:tc>
        <w:tc>
          <w:tcPr>
            <w:tcW w:w="40" w:type="dxa"/>
            <w:vAlign w:val="bottom"/>
          </w:tcPr>
          <w:p>
            <w:pPr>
              <w:spacing w:after="0"/>
              <w:rPr>
                <w:sz w:val="19"/>
                <w:szCs w:val="19"/>
                <w:color w:val="auto"/>
              </w:rPr>
            </w:pPr>
          </w:p>
        </w:tc>
      </w:tr>
      <w:tr>
        <w:trPr>
          <w:trHeight w:val="418"/>
        </w:trPr>
        <w:tc>
          <w:tcPr>
            <w:tcW w:w="5780" w:type="dxa"/>
            <w:vAlign w:val="bottom"/>
            <w:gridSpan w:val="2"/>
          </w:tcPr>
          <w:p>
            <w:pPr>
              <w:spacing w:after="0"/>
              <w:rPr>
                <w:sz w:val="20"/>
                <w:szCs w:val="20"/>
                <w:color w:val="auto"/>
              </w:rPr>
            </w:pPr>
            <w:r>
              <w:rPr>
                <w:rFonts w:ascii="Arial" w:cs="Arial" w:eastAsia="Arial" w:hAnsi="Arial"/>
                <w:sz w:val="18"/>
                <w:szCs w:val="18"/>
                <w:color w:val="auto"/>
              </w:rPr>
              <w:t>Paul Mann</w:t>
            </w:r>
          </w:p>
        </w:tc>
        <w:tc>
          <w:tcPr>
            <w:tcW w:w="5780" w:type="dxa"/>
            <w:vAlign w:val="bottom"/>
          </w:tcPr>
          <w:p>
            <w:pPr>
              <w:spacing w:after="0"/>
              <w:rPr>
                <w:sz w:val="20"/>
                <w:szCs w:val="20"/>
                <w:color w:val="auto"/>
              </w:rPr>
            </w:pPr>
            <w:r>
              <w:rPr>
                <w:rFonts w:ascii="Arial" w:cs="Arial" w:eastAsia="Arial" w:hAnsi="Arial"/>
                <w:sz w:val="18"/>
                <w:szCs w:val="18"/>
                <w:color w:val="auto"/>
              </w:rPr>
              <w:t>Kylie Yong</w:t>
            </w:r>
          </w:p>
        </w:tc>
        <w:tc>
          <w:tcPr>
            <w:tcW w:w="40" w:type="dxa"/>
            <w:vAlign w:val="bottom"/>
          </w:tcPr>
          <w:p>
            <w:pPr>
              <w:spacing w:after="0"/>
              <w:rPr>
                <w:sz w:val="24"/>
                <w:szCs w:val="24"/>
                <w:color w:val="auto"/>
              </w:rPr>
            </w:pPr>
          </w:p>
        </w:tc>
      </w:tr>
      <w:tr>
        <w:trPr>
          <w:trHeight w:val="224"/>
        </w:trPr>
        <w:tc>
          <w:tcPr>
            <w:tcW w:w="5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Director</w:t>
            </w:r>
          </w:p>
        </w:tc>
        <w:tc>
          <w:tcPr>
            <w:tcW w:w="380" w:type="dxa"/>
            <w:vAlign w:val="bottom"/>
          </w:tcPr>
          <w:p>
            <w:pPr>
              <w:spacing w:after="0"/>
              <w:rPr>
                <w:sz w:val="19"/>
                <w:szCs w:val="19"/>
                <w:color w:val="auto"/>
              </w:rPr>
            </w:pPr>
          </w:p>
        </w:tc>
        <w:tc>
          <w:tcPr>
            <w:tcW w:w="5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Company Secretary</w:t>
            </w:r>
          </w:p>
        </w:tc>
        <w:tc>
          <w:tcPr>
            <w:tcW w:w="40" w:type="dxa"/>
            <w:vAlign w:val="bottom"/>
          </w:tcPr>
          <w:p>
            <w:pPr>
              <w:spacing w:after="0"/>
              <w:rPr>
                <w:sz w:val="19"/>
                <w:szCs w:val="19"/>
                <w:color w:val="auto"/>
              </w:rPr>
            </w:pPr>
          </w:p>
        </w:tc>
      </w:tr>
      <w:tr>
        <w:trPr>
          <w:trHeight w:val="333"/>
        </w:trPr>
        <w:tc>
          <w:tcPr>
            <w:tcW w:w="54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7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600"/>
      </w:cols>
      <w:pgMar w:left="160" w:top="25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1"/>
      <w:numFmt w:val="bullet"/>
      <w:start w:val="1"/>
    </w:lvl>
  </w:abstractNum>
  <w:abstractNum w:abstractNumId="2">
    <w:nsid w:val="66EF438D"/>
    <w:multiLevelType w:val="hybridMultilevel"/>
    <w:lvl w:ilvl="0">
      <w:lvlJc w:val="left"/>
      <w:lvlText w:val="2"/>
      <w:numFmt w:val="bullet"/>
      <w:start w:val="1"/>
    </w:lvl>
    <w:lvl w:ilvl="1">
      <w:lvlJc w:val="left"/>
      <w:lvlText w:val="(%2)"/>
      <w:numFmt w:val="lowerLetter"/>
      <w:start w:val="1"/>
    </w:lvl>
  </w:abstractNum>
  <w:abstractNum w:abstractNumId="3">
    <w:nsid w:val="140E0F76"/>
    <w:multiLevelType w:val="hybridMultilevel"/>
    <w:lvl w:ilvl="0">
      <w:lvlJc w:val="left"/>
      <w:lvlText w:val="3"/>
      <w:numFmt w:val="bullet"/>
      <w:start w:val="1"/>
    </w:lvl>
  </w:abstractNum>
  <w:abstractNum w:abstractNumId="4">
    <w:nsid w:val="3352255A"/>
    <w:multiLevelType w:val="hybridMultilevel"/>
    <w:lvl w:ilvl="0">
      <w:lvlJc w:val="left"/>
      <w:lvlText w:val="4"/>
      <w:numFmt w:val="bullet"/>
      <w:start w:val="1"/>
    </w:lvl>
  </w:abstractNum>
  <w:abstractNum w:abstractNumId="5">
    <w:nsid w:val="109CF92E"/>
    <w:multiLevelType w:val="hybridMultilevel"/>
    <w:lvl w:ilvl="0">
      <w:lvlJc w:val="left"/>
      <w:lvlText w:val="9"/>
      <w:numFmt w:val="bullet"/>
      <w:start w:val="1"/>
    </w:lvl>
  </w:abstractNum>
  <w:abstractNum w:abstractNumId="6">
    <w:nsid w:val="DED7263"/>
    <w:multiLevelType w:val="hybridMultilevel"/>
    <w:lvl w:ilvl="0">
      <w:lvlJc w:val="left"/>
      <w:lvlText w:val="%1"/>
      <w:numFmt w:val="decimal"/>
      <w:start w:val="1"/>
    </w:lvl>
    <w:lvl w:ilvl="1">
      <w:lvlJc w:val="left"/>
      <w:lvlText w:val="%2"/>
      <w:numFmt w:val="decimal"/>
      <w:start w:val="10"/>
    </w:lvl>
  </w:abstractNum>
  <w:abstractNum w:abstractNumId="7">
    <w:nsid w:val="7FDCC233"/>
    <w:multiLevelType w:val="hybridMultilevel"/>
    <w:lvl w:ilvl="0">
      <w:lvlJc w:val="left"/>
      <w:lvlText w:val="(%1)"/>
      <w:numFmt w:val="decimal"/>
      <w:start w:val="1"/>
    </w:lvl>
    <w:lvl w:ilvl="1">
      <w:lvlJc w:val="left"/>
      <w:lvlText w:val="%2"/>
      <w:numFmt w:val="decimal"/>
      <w:start w:val="1"/>
    </w:lvl>
  </w:abstractNum>
  <w:abstractNum w:abstractNumId="8">
    <w:nsid w:val="1BEFD79F"/>
    <w:multiLevelType w:val="hybridMultilevel"/>
    <w:lvl w:ilvl="0">
      <w:lvlJc w:val="left"/>
      <w:lvlText w:val="1"/>
      <w:numFmt w:val="bullet"/>
      <w:start w:val="1"/>
    </w:lvl>
  </w:abstractNum>
  <w:abstractNum w:abstractNumId="9">
    <w:nsid w:val="41A7C4C9"/>
    <w:multiLevelType w:val="hybridMultilevel"/>
    <w:lvl w:ilvl="0">
      <w:lvlJc w:val="left"/>
      <w:lvlText w:val="2"/>
      <w:numFmt w:val="bullet"/>
      <w:start w:val="1"/>
    </w:lvl>
    <w:lvl w:ilvl="1">
      <w:lvlJc w:val="left"/>
      <w:lvlText w:val="(%2)"/>
      <w:numFmt w:val="lowerLetter"/>
      <w:start w:val="1"/>
    </w:lvl>
  </w:abstractNum>
  <w:abstractNum w:abstractNumId="10">
    <w:nsid w:val="6B68079A"/>
    <w:multiLevelType w:val="hybridMultilevel"/>
    <w:lvl w:ilvl="0">
      <w:lvlJc w:val="left"/>
      <w:lvlText w:val="3"/>
      <w:numFmt w:val="bullet"/>
      <w:start w:val="1"/>
    </w:lvl>
  </w:abstractNum>
  <w:abstractNum w:abstractNumId="11">
    <w:nsid w:val="4E6AFB66"/>
    <w:multiLevelType w:val="hybridMultilevel"/>
    <w:lvl w:ilvl="0">
      <w:lvlJc w:val="left"/>
      <w:lvlText w:val="4"/>
      <w:numFmt w:val="bullet"/>
      <w:start w:val="1"/>
    </w:lvl>
  </w:abstractNum>
  <w:abstractNum w:abstractNumId="12">
    <w:nsid w:val="25E45D32"/>
    <w:multiLevelType w:val="hybridMultilevel"/>
    <w:lvl w:ilvl="0">
      <w:lvlJc w:val="left"/>
      <w:lvlText w:val="9"/>
      <w:numFmt w:val="bullet"/>
      <w:start w:val="1"/>
    </w:lvl>
  </w:abstractNum>
  <w:abstractNum w:abstractNumId="13">
    <w:nsid w:val="519B500D"/>
    <w:multiLevelType w:val="hybridMultilevel"/>
    <w:lvl w:ilvl="0">
      <w:lvlJc w:val="left"/>
      <w:lvlText w:val="%1"/>
      <w:numFmt w:val="decimal"/>
      <w:start w:val="1"/>
    </w:lvl>
    <w:lvl w:ilvl="1">
      <w:lvlJc w:val="left"/>
      <w:lvlText w:val="%2"/>
      <w:numFmt w:val="decimal"/>
      <w:start w:val="10"/>
    </w:lvl>
  </w:abstractNum>
  <w:abstractNum w:abstractNumId="14">
    <w:nsid w:val="431BD7B7"/>
    <w:multiLevelType w:val="hybridMultilevel"/>
    <w:lvl w:ilvl="0">
      <w:lvlJc w:val="left"/>
      <w:lvlText w:val="(%1)"/>
      <w:numFmt w:val="decimal"/>
      <w:start w:val="1"/>
    </w:lvl>
    <w:lvl w:ilvl="1">
      <w:lvlJc w:val="left"/>
      <w:lvlText w:val="%2"/>
      <w:numFmt w:val="decimal"/>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Roman"/>
      <w:start w:val="1"/>
    </w:lvl>
  </w:abstractNum>
  <w:abstractNum w:abstractNumId="19">
    <w:nsid w:val="436C6125"/>
    <w:multiLevelType w:val="hybridMultilevel"/>
    <w:lvl w:ilvl="0">
      <w:lvlJc w:val="left"/>
      <w:lvlText w:val="(%1)"/>
      <w:numFmt w:val="lowerRoman"/>
      <w:start w:val="2"/>
    </w:lvl>
  </w:abstractNum>
  <w:abstractNum w:abstractNumId="20">
    <w:nsid w:val="628C895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2019-12-15T14:15:36Z</dcterms:created>
  <dcterms:modified xsi:type="dcterms:W3CDTF">2019-12-15T14:15:36Z</dcterms:modified>
</cp:coreProperties>
</file>