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98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9822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Horowitz Eliot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9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MONGODB,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Technology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ind w:left="920"/>
              <w:spacing w:after="0"/>
              <w:rPr>
                <w:sz w:val="20"/>
                <w:szCs w:val="20"/>
                <w:color w:val="auto"/>
              </w:rPr>
            </w:pPr>
            <w:r>
              <w:rPr>
                <w:rFonts w:ascii="Arial" w:cs="Arial" w:eastAsia="Arial" w:hAnsi="Arial"/>
                <w:sz w:val="18"/>
                <w:szCs w:val="18"/>
                <w:color w:val="0000FF"/>
              </w:rPr>
              <w:t>0</w:t>
            </w:r>
          </w:p>
        </w:tc>
        <w:tc>
          <w:tcPr>
            <w:tcW w:w="880" w:type="dxa"/>
            <w:vAlign w:val="bottom"/>
          </w:tcPr>
          <w:p>
            <w:pPr>
              <w:ind w:left="6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860" w:type="dxa"/>
            <w:vAlign w:val="bottom"/>
            <w:gridSpan w:val="6"/>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0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300" w:type="dxa"/>
            <w:vAlign w:val="bottom"/>
            <w:gridSpan w:val="2"/>
          </w:tcPr>
          <w:p>
            <w:pPr>
              <w:jc w:val="right"/>
              <w:ind w:right="28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1,511,324</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880" w:type="dxa"/>
            <w:vAlign w:val="bottom"/>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300" w:type="dxa"/>
            <w:vAlign w:val="bottom"/>
            <w:gridSpan w:val="2"/>
          </w:tcPr>
          <w:p>
            <w:pPr>
              <w:jc w:val="right"/>
              <w:ind w:right="28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375,000</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00" w:type="dxa"/>
            <w:vAlign w:val="bottom"/>
            <w:tcBorders>
              <w:top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(3)</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0000FF"/>
                <w:w w:val="88"/>
              </w:rPr>
              <w:t>03/07/2023</w:t>
            </w:r>
          </w:p>
        </w:tc>
        <w:tc>
          <w:tcPr>
            <w:tcW w:w="2000" w:type="dxa"/>
            <w:vAlign w:val="bottom"/>
            <w:tcBorders>
              <w:top w:val="single" w:sz="8" w:color="2C2C2C"/>
            </w:tcBorders>
          </w:tcPr>
          <w:p>
            <w:pPr>
              <w:ind w:left="180"/>
              <w:spacing w:after="0"/>
              <w:rPr>
                <w:sz w:val="20"/>
                <w:szCs w:val="20"/>
                <w:color w:val="auto"/>
              </w:rPr>
            </w:pPr>
            <w:r>
              <w:rPr>
                <w:rFonts w:ascii="Arial" w:cs="Arial" w:eastAsia="Arial" w:hAnsi="Arial"/>
                <w:sz w:val="18"/>
                <w:szCs w:val="18"/>
                <w:color w:val="0000FF"/>
                <w:w w:val="94"/>
              </w:rPr>
              <w:t>Class B Common Stock</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9"/>
              </w:rPr>
              <w:t>225,000</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85"/>
              </w:rPr>
              <w:t>5.72</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00" w:type="dxa"/>
            <w:vAlign w:val="bottom"/>
            <w:gridSpan w:val="2"/>
          </w:tcPr>
          <w:p>
            <w:pPr>
              <w:jc w:val="right"/>
              <w:ind w:right="28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04/22/2025</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100,000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0000FF"/>
                <w:w w:val="97"/>
              </w:rPr>
              <w:t>Employee Stock Option (Right to Buy)</w:t>
            </w:r>
          </w:p>
        </w:tc>
        <w:tc>
          <w:tcPr>
            <w:tcW w:w="1300" w:type="dxa"/>
            <w:vAlign w:val="bottom"/>
            <w:gridSpan w:val="2"/>
          </w:tcPr>
          <w:p>
            <w:pPr>
              <w:jc w:val="right"/>
              <w:ind w:right="28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04/13/2026</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B Common Stock</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200,000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6.5</w:t>
            </w:r>
          </w:p>
        </w:tc>
        <w:tc>
          <w:tcPr>
            <w:tcW w:w="880" w:type="dxa"/>
            <w:vAlign w:val="bottom"/>
          </w:tcPr>
          <w:p>
            <w:pPr>
              <w:jc w:val="center"/>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Class B Common Stock is convertible at any time at the option of the Reporting Person into one share of Class A Common Stock and has no expiration date. Upon the closing of the Issuer's sale of its Class A Common Stock in its firm commitment underwritten initial public offering pursuant to its registration statement on Form S-1 (File No. 333-220557) under the Securities Act of 1933, as amended,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32"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shares are held by The ERH Family 2012 Trust for the benefit of the Reporting Person's children. The Reporting Person is the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Immediately exercisable and fully vested.</w:t>
      </w:r>
    </w:p>
    <w:p>
      <w:pPr>
        <w:spacing w:after="0" w:line="41"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66,666 shares are vested. The remaining shares shall vest in 16 equal monthly installments beginning on November 1, 2017, subject to the Reporting Person providing continuous service to the Issuer on each such date.</w:t>
      </w:r>
    </w:p>
    <w:p>
      <w:pPr>
        <w:ind w:left="40" w:right="26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All shares underlying this option are immediately exercisable, subject to a repurchase right in the Issuer's favor which lapses in accordance with the option's vesting schedule. 33,744 are vested. The remaining shares shall vest as to (i) 21,248 shares in 6 equal monthly installments beginning on November 13, 2017, (ii) 45,000 shares in 12 equal monthly installments beginning on May 13, 2018, and (iii) 100,008 shares in 24 equal monthly installments beginning on May 13, 2019, in each case, subject to the Reporting Person providing continuous service to the Issuer on each such date.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/s/Alison Haggerty,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10/18/2017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Executing Form ID and Forms 3, 4 and 5)</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Andrew Stephens and Sarah Ward of MongoDB, Inc. (the "Company") and Nicole Brookshire and Alison Haggerty of Cooley LLP with full power of substitution, signing individually, the undersigned's true and lawful attorneys-in fact and agents to:</w:t>
      </w:r>
    </w:p>
    <w:p>
      <w:pPr>
        <w:spacing w:after="0" w:line="209" w:lineRule="exact"/>
        <w:rPr>
          <w:sz w:val="20"/>
          <w:szCs w:val="20"/>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the Securities and Exchange Commission (the "SEC") Form ID and</w:t>
      </w:r>
    </w:p>
    <w:p>
      <w:pPr>
        <w:spacing w:after="0" w:line="5"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84"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prepare and execute any such Form ID and Forms</w:t>
      </w:r>
    </w:p>
    <w:p>
      <w:pPr>
        <w:spacing w:after="0" w:line="5"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(including amendments thereto and joint filing agreements in connection therewith) and timely file such forms with the SEC and any stock exchange, self-regulatory association or any similar authority;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that, in the opinion of such attorney-in-fact, may be of benefit to,</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9"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91" w:lineRule="exact"/>
        <w:rPr>
          <w:sz w:val="20"/>
          <w:szCs w:val="20"/>
          <w:color w:val="auto"/>
        </w:rPr>
      </w:pPr>
    </w:p>
    <w:p>
      <w:pPr>
        <w:ind w:right="1039" w:firstLine="843"/>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the earliest to occur of (a) the undersigned is no longer required to file Forms 3, 4 and 5</w:t>
      </w:r>
    </w:p>
    <w:p>
      <w:pPr>
        <w:ind w:right="1779"/>
        <w:spacing w:after="0" w:line="273" w:lineRule="auto"/>
        <w:rPr>
          <w:sz w:val="20"/>
          <w:szCs w:val="20"/>
          <w:color w:val="auto"/>
        </w:rPr>
      </w:pPr>
      <w:r>
        <w:rPr>
          <w:rFonts w:ascii="Courier New" w:cs="Courier New" w:eastAsia="Courier New" w:hAnsi="Courier New"/>
          <w:sz w:val="16"/>
          <w:szCs w:val="16"/>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any of its subsidiaries, or Cooley LLP, as applicable.</w:t>
      </w:r>
    </w:p>
    <w:p>
      <w:pPr>
        <w:spacing w:after="0" w:line="185"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3, 2017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/s/Eliot Horowitz</w:t>
      </w:r>
    </w:p>
    <w:p>
      <w:pPr>
        <w:spacing w:after="0" w:line="238" w:lineRule="auto"/>
        <w:rPr>
          <w:sz w:val="20"/>
          <w:szCs w:val="20"/>
          <w:color w:val="auto"/>
        </w:rPr>
      </w:pPr>
      <w:r>
        <w:rPr>
          <w:rFonts w:ascii="Courier New" w:cs="Courier New" w:eastAsia="Courier New" w:hAnsi="Courier New"/>
          <w:sz w:val="18"/>
          <w:szCs w:val="18"/>
          <w:color w:val="auto"/>
        </w:rPr>
        <w:t>Eliot Horowitz</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9479" TargetMode="External"/><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2019-12-04T01:59:23Z</dcterms:created>
  <dcterms:modified xsi:type="dcterms:W3CDTF">2019-12-04T01:59:23Z</dcterms:modified>
</cp:coreProperties>
</file>