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3872.xml.htm"/>
      <w:bookmarkStart w:id="1" w:name="kswkform4_17914938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Hazard Charles M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FLYBRIDGE CAPITAL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BOYLSTON ST,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6"/>
        <w:gridCol w:w="931"/>
        <w:gridCol w:w="799"/>
        <w:gridCol w:w="618"/>
        <w:gridCol w:w="345"/>
        <w:gridCol w:w="775"/>
        <w:gridCol w:w="429"/>
        <w:gridCol w:w="857"/>
        <w:gridCol w:w="1133"/>
        <w:gridCol w:w="980"/>
        <w:gridCol w:w="12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595</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363.85</w:t>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45,237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13,995</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Partnership</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were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Narragansett Bay Childrens Trust (the "Trust"). The Reporting Person is the Trustee of the Trust and, as such, has the power to vote and dispose of the shares held by the Trust. The Reporting Person disclaims beneficial ownership of the shares owned by the Trust except to the extent of his pecuniary interest therein and this report shall not be deemed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was appointed as the manager and general partner of a family limited partnership that owns the reported securities.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39247"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3899</Characters>
  <CharactersWithSpaces>4548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