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8-K/A</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no.1)</w:t>
      </w:r>
    </w:p>
    <w:p>
      <w:pPr>
        <w:spacing w:after="0" w:line="1"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June 29, 2021</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___________________</w:t>
      </w:r>
    </w:p>
    <w:p>
      <w:pPr>
        <w:sectPr>
          <w:pgSz w:w="11900" w:h="16838" w:orient="portrait"/>
          <w:cols w:equalWidth="0" w:num="1">
            <w:col w:w="11120"/>
          </w:cols>
          <w:pgMar w:left="320" w:top="1259" w:right="459" w:bottom="1440" w:gutter="0" w:footer="0" w:header="0"/>
        </w:sectPr>
      </w:pPr>
    </w:p>
    <w:p>
      <w:pPr>
        <w:spacing w:after="0" w:line="133"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001-38240</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26-1463205</w:t>
      </w:r>
    </w:p>
    <w:p>
      <w:pPr>
        <w:spacing w:after="0" w:line="49" w:lineRule="exact"/>
        <w:rPr>
          <w:sz w:val="24"/>
          <w:szCs w:val="24"/>
          <w:color w:val="auto"/>
        </w:rPr>
      </w:pPr>
    </w:p>
    <w:p>
      <w:pPr>
        <w:sectPr>
          <w:pgSz w:w="11900" w:h="16838" w:orient="portrait"/>
          <w:cols w:equalWidth="0" w:num="3">
            <w:col w:w="4460" w:space="720"/>
            <w:col w:w="2980" w:space="720"/>
            <w:col w:w="2240"/>
          </w:cols>
          <w:pgMar w:left="320" w:top="1259" w:right="459" w:bottom="1440" w:gutter="0" w:footer="0" w:header="0"/>
          <w:type w:val="continuous"/>
        </w:sectPr>
      </w:pPr>
    </w:p>
    <w:p>
      <w:pPr>
        <w:spacing w:after="0" w:line="22" w:lineRule="exact"/>
        <w:rPr>
          <w:sz w:val="24"/>
          <w:szCs w:val="24"/>
          <w:color w:val="auto"/>
        </w:rPr>
      </w:pPr>
    </w:p>
    <w:p>
      <w:pPr>
        <w:jc w:val="center"/>
        <w:ind w:right="400"/>
        <w:spacing w:after="0"/>
        <w:rPr>
          <w:sz w:val="20"/>
          <w:szCs w:val="20"/>
          <w:color w:val="auto"/>
        </w:rPr>
      </w:pPr>
      <w:r>
        <w:rPr>
          <w:rFonts w:ascii="Arial" w:cs="Arial" w:eastAsia="Arial" w:hAnsi="Arial"/>
          <w:sz w:val="10"/>
          <w:szCs w:val="10"/>
          <w:b w:val="1"/>
          <w:bCs w:val="1"/>
          <w:color w:val="auto"/>
        </w:rPr>
        <w:t>(State or Other Jurisdiction</w:t>
      </w: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3"/>
          <w:szCs w:val="13"/>
          <w:b w:val="1"/>
          <w:bCs w:val="1"/>
          <w:color w:val="auto"/>
        </w:rPr>
        <w:t>(IRS Employer</w:t>
      </w:r>
    </w:p>
    <w:p>
      <w:pPr>
        <w:jc w:val="center"/>
        <w:ind w:right="1260"/>
        <w:spacing w:after="0"/>
        <w:rPr>
          <w:sz w:val="20"/>
          <w:szCs w:val="20"/>
          <w:color w:val="auto"/>
        </w:rPr>
      </w:pPr>
      <w:r>
        <w:rPr>
          <w:rFonts w:ascii="Arial" w:cs="Arial" w:eastAsia="Arial" w:hAnsi="Arial"/>
          <w:sz w:val="10"/>
          <w:szCs w:val="10"/>
          <w:b w:val="1"/>
          <w:bCs w:val="1"/>
          <w:color w:val="auto"/>
        </w:rPr>
        <w:t>Identification No.)</w:t>
      </w:r>
    </w:p>
    <w:p>
      <w:pPr>
        <w:spacing w:after="0" w:line="234" w:lineRule="exact"/>
        <w:rPr>
          <w:sz w:val="24"/>
          <w:szCs w:val="24"/>
          <w:color w:val="auto"/>
        </w:rPr>
      </w:pPr>
    </w:p>
    <w:p>
      <w:pPr>
        <w:sectPr>
          <w:pgSz w:w="11900" w:h="16838" w:orient="portrait"/>
          <w:cols w:equalWidth="0" w:num="3">
            <w:col w:w="4160" w:space="720"/>
            <w:col w:w="3280" w:space="720"/>
            <w:col w:w="2240"/>
          </w:cols>
          <w:pgMar w:left="320" w:top="1259" w:right="459" w:bottom="1440" w:gutter="0" w:footer="0" w:header="0"/>
          <w:type w:val="continuous"/>
        </w:sectPr>
      </w:pPr>
    </w:p>
    <w:p>
      <w:pPr>
        <w:spacing w:after="0" w:line="23" w:lineRule="exact"/>
        <w:rPr>
          <w:sz w:val="24"/>
          <w:szCs w:val="24"/>
          <w:color w:val="auto"/>
        </w:rPr>
      </w:pPr>
    </w:p>
    <w:p>
      <w:pPr>
        <w:ind w:left="520"/>
        <w:spacing w:after="0"/>
        <w:rPr>
          <w:sz w:val="20"/>
          <w:szCs w:val="20"/>
          <w:color w:val="auto"/>
        </w:rPr>
      </w:pPr>
      <w:r>
        <w:rPr>
          <w:rFonts w:ascii="Arial" w:cs="Arial" w:eastAsia="Arial" w:hAnsi="Arial"/>
          <w:sz w:val="16"/>
          <w:szCs w:val="16"/>
          <w:b w:val="1"/>
          <w:bCs w:val="1"/>
          <w:color w:val="auto"/>
        </w:rPr>
        <w:t>1633 Broadway, 38th Floor</w:t>
      </w:r>
    </w:p>
    <w:p>
      <w:pPr>
        <w:spacing w:after="0" w:line="73" w:lineRule="exact"/>
        <w:rPr>
          <w:sz w:val="24"/>
          <w:szCs w:val="24"/>
          <w:color w:val="auto"/>
        </w:rPr>
      </w:pPr>
    </w:p>
    <w:p>
      <w:pPr>
        <w:ind w:left="980"/>
        <w:spacing w:after="0"/>
        <w:rPr>
          <w:sz w:val="20"/>
          <w:szCs w:val="20"/>
          <w:color w:val="auto"/>
        </w:rPr>
      </w:pPr>
      <w:r>
        <w:rPr>
          <w:rFonts w:ascii="Arial" w:cs="Arial" w:eastAsia="Arial" w:hAnsi="Arial"/>
          <w:sz w:val="20"/>
          <w:szCs w:val="20"/>
          <w:b w:val="1"/>
          <w:bCs w:val="1"/>
          <w:color w:val="auto"/>
        </w:rPr>
        <w:t>New York, NY</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10019</w:t>
      </w:r>
    </w:p>
    <w:p>
      <w:pPr>
        <w:spacing w:after="0" w:line="72" w:lineRule="exact"/>
        <w:rPr>
          <w:sz w:val="24"/>
          <w:szCs w:val="24"/>
          <w:color w:val="auto"/>
        </w:rPr>
      </w:pPr>
    </w:p>
    <w:p>
      <w:pPr>
        <w:sectPr>
          <w:pgSz w:w="11900" w:h="16838" w:orient="portrait"/>
          <w:cols w:equalWidth="0" w:num="2">
            <w:col w:w="8400" w:space="720"/>
            <w:col w:w="2000"/>
          </w:cols>
          <w:pgMar w:left="320" w:top="1259" w:right="459" w:bottom="1440" w:gutter="0" w:footer="0" w:header="0"/>
          <w:type w:val="continuous"/>
        </w:sectPr>
      </w:pPr>
    </w:p>
    <w:p>
      <w:pPr>
        <w:ind w:left="80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200" w:lineRule="exact"/>
        <w:rPr>
          <w:sz w:val="24"/>
          <w:szCs w:val="24"/>
          <w:color w:val="auto"/>
        </w:rPr>
      </w:pPr>
    </w:p>
    <w:p>
      <w:pPr>
        <w:sectPr>
          <w:pgSz w:w="11900" w:h="16838" w:orient="portrait"/>
          <w:cols w:equalWidth="0" w:num="2">
            <w:col w:w="8360" w:space="720"/>
            <w:col w:w="2040"/>
          </w:cols>
          <w:pgMar w:left="320" w:top="1259" w:right="459" w:bottom="1440" w:gutter="0" w:footer="0" w:header="0"/>
          <w:type w:val="continuous"/>
        </w:sectPr>
      </w:pP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646-727-4092</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Not Applicable</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31"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ectPr>
          <w:pgSz w:w="11900" w:h="16838" w:orient="portrait"/>
          <w:cols w:equalWidth="0" w:num="1">
            <w:col w:w="11120"/>
          </w:cols>
          <w:pgMar w:left="320" w:top="1259" w:right="459" w:bottom="1440" w:gutter="0" w:footer="0" w:header="0"/>
          <w:type w:val="continuous"/>
        </w:sectPr>
      </w:pPr>
    </w:p>
    <w:p>
      <w:pPr>
        <w:spacing w:after="0" w:line="15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80" w:firstLine="48"/>
        <w:spacing w:after="0" w:line="435" w:lineRule="auto"/>
        <w:tabs>
          <w:tab w:leader="none" w:pos="38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69"/>
        </w:trPr>
        <w:tc>
          <w:tcPr>
            <w:tcW w:w="3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Class A Common Stock, par value $0.001</w:t>
            </w:r>
          </w:p>
        </w:tc>
        <w:tc>
          <w:tcPr>
            <w:tcW w:w="120" w:type="dxa"/>
            <w:vAlign w:val="bottom"/>
          </w:tcPr>
          <w:p>
            <w:pPr>
              <w:spacing w:after="0"/>
              <w:rPr>
                <w:sz w:val="14"/>
                <w:szCs w:val="14"/>
                <w:color w:val="auto"/>
              </w:rPr>
            </w:pPr>
          </w:p>
        </w:tc>
        <w:tc>
          <w:tcPr>
            <w:tcW w:w="3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MDB</w:t>
            </w:r>
          </w:p>
        </w:tc>
        <w:tc>
          <w:tcPr>
            <w:tcW w:w="100" w:type="dxa"/>
            <w:vAlign w:val="bottom"/>
          </w:tcPr>
          <w:p>
            <w:pPr>
              <w:spacing w:after="0"/>
              <w:rPr>
                <w:sz w:val="14"/>
                <w:szCs w:val="14"/>
                <w:color w:val="auto"/>
              </w:rPr>
            </w:pPr>
          </w:p>
        </w:tc>
        <w:tc>
          <w:tcPr>
            <w:tcW w:w="3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The Nasdaq Stock Market LLC</w:t>
            </w:r>
          </w:p>
        </w:tc>
      </w:tr>
      <w:tr>
        <w:trPr>
          <w:trHeight w:val="284"/>
        </w:trPr>
        <w:tc>
          <w:tcPr>
            <w:tcW w:w="34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per share</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firstLine="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259"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62" w:lineRule="exact"/>
        <w:rPr>
          <w:sz w:val="20"/>
          <w:szCs w:val="20"/>
          <w:color w:val="auto"/>
        </w:rPr>
      </w:pPr>
    </w:p>
    <w:p>
      <w:pPr>
        <w:ind w:right="100"/>
        <w:spacing w:after="0" w:line="306" w:lineRule="auto"/>
        <w:rPr>
          <w:sz w:val="20"/>
          <w:szCs w:val="20"/>
          <w:color w:val="auto"/>
        </w:rPr>
      </w:pPr>
      <w:r>
        <w:rPr>
          <w:rFonts w:ascii="Arial" w:cs="Arial" w:eastAsia="Arial" w:hAnsi="Arial"/>
          <w:sz w:val="18"/>
          <w:szCs w:val="18"/>
          <w:color w:val="auto"/>
        </w:rPr>
        <w:t>This Current Report on Form 8-K/A is being filed by MongoDB, Inc. (the “Company”) as an amendment (the “Amendment”) to the Current Report on Form 8-K that the Company filed with the SEC on June 29, 2021 to announce the preliminary voting results of the Company’s Annual Meeting of Stockholders held on June 29, 2021 (the “Annual Meeting”). This Amendment is being filed to disclose the final, certified voting results received from the inspector of election (the “Inspector of Election”) for the Annual Meeting.</w:t>
      </w:r>
    </w:p>
    <w:p>
      <w:pPr>
        <w:spacing w:after="0" w:line="3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62" w:lineRule="exact"/>
        <w:rPr>
          <w:sz w:val="20"/>
          <w:szCs w:val="20"/>
          <w:color w:val="auto"/>
        </w:rPr>
      </w:pPr>
    </w:p>
    <w:p>
      <w:pPr>
        <w:ind w:firstLine="445"/>
        <w:spacing w:after="0" w:line="324" w:lineRule="auto"/>
        <w:rPr>
          <w:sz w:val="20"/>
          <w:szCs w:val="20"/>
          <w:color w:val="auto"/>
        </w:rPr>
      </w:pPr>
      <w:r>
        <w:rPr>
          <w:rFonts w:ascii="Arial" w:cs="Arial" w:eastAsia="Arial" w:hAnsi="Arial"/>
          <w:sz w:val="18"/>
          <w:szCs w:val="18"/>
          <w:color w:val="auto"/>
        </w:rPr>
        <w:t>At the Annual Meeting, the Company’s stockholders voted on the three proposals set forth below. A more detailed description of each proposal is set forth in the Company’s Proxy Statement filed with the Securities and Exchange Commission on May 17,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62" w:lineRule="exact"/>
        <w:rPr>
          <w:sz w:val="20"/>
          <w:szCs w:val="20"/>
          <w:color w:val="auto"/>
        </w:rPr>
      </w:pPr>
    </w:p>
    <w:p>
      <w:pPr>
        <w:jc w:val="both"/>
        <w:ind w:firstLine="445"/>
        <w:spacing w:after="0" w:line="310" w:lineRule="auto"/>
        <w:rPr>
          <w:sz w:val="20"/>
          <w:szCs w:val="20"/>
          <w:color w:val="auto"/>
        </w:rPr>
      </w:pPr>
      <w:r>
        <w:rPr>
          <w:rFonts w:ascii="Arial" w:cs="Arial" w:eastAsia="Arial" w:hAnsi="Arial"/>
          <w:sz w:val="18"/>
          <w:szCs w:val="18"/>
          <w:color w:val="auto"/>
        </w:rPr>
        <w:t>Each of Roelof Botha, Dev Ittycheria and John McMahon was elected to serve as a Class I director of the Company’s Board of Directors until the 2024 Annual Meeting of Stockholders and until his successor has been duly elected, or if sooner, until the director’s death, resignation or removal, by the following votes:</w:t>
      </w:r>
    </w:p>
    <w:p>
      <w:pPr>
        <w:spacing w:after="0" w:line="67"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2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Nominee</w:t>
            </w: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300" w:type="dxa"/>
            <w:vAlign w:val="bottom"/>
            <w:gridSpan w:val="2"/>
          </w:tcPr>
          <w:p>
            <w:pPr>
              <w:ind w:left="620"/>
              <w:spacing w:after="0"/>
              <w:rPr>
                <w:sz w:val="20"/>
                <w:szCs w:val="20"/>
                <w:color w:val="auto"/>
              </w:rPr>
            </w:pPr>
            <w:r>
              <w:rPr>
                <w:rFonts w:ascii="Arial" w:cs="Arial" w:eastAsia="Arial" w:hAnsi="Arial"/>
                <w:sz w:val="14"/>
                <w:szCs w:val="14"/>
                <w:b w:val="1"/>
                <w:bCs w:val="1"/>
                <w:color w:val="auto"/>
              </w:rPr>
              <w:t>Votes Withheld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37"/>
        </w:trPr>
        <w:tc>
          <w:tcPr>
            <w:tcW w:w="2460" w:type="dxa"/>
            <w:vAlign w:val="bottom"/>
          </w:tcPr>
          <w:p>
            <w:pPr>
              <w:jc w:val="center"/>
              <w:spacing w:after="0"/>
              <w:rPr>
                <w:sz w:val="20"/>
                <w:szCs w:val="20"/>
                <w:color w:val="auto"/>
              </w:rPr>
            </w:pPr>
            <w:r>
              <w:rPr>
                <w:rFonts w:ascii="Arial" w:cs="Arial" w:eastAsia="Arial" w:hAnsi="Arial"/>
                <w:sz w:val="18"/>
                <w:szCs w:val="18"/>
                <w:color w:val="auto"/>
                <w:w w:val="92"/>
              </w:rPr>
              <w:t>Roelof Botha</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34,981,131</w:t>
            </w:r>
          </w:p>
        </w:tc>
        <w:tc>
          <w:tcPr>
            <w:tcW w:w="1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12,550,237</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r>
        <w:trPr>
          <w:trHeight w:val="270"/>
        </w:trPr>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Dev Ittycheria</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41,172,392</w:t>
            </w:r>
          </w:p>
        </w:tc>
        <w:tc>
          <w:tcPr>
            <w:tcW w:w="1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6,358,976</w:t>
            </w:r>
          </w:p>
        </w:tc>
        <w:tc>
          <w:tcPr>
            <w:tcW w:w="1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r>
        <w:trPr>
          <w:trHeight w:val="270"/>
        </w:trPr>
        <w:tc>
          <w:tcPr>
            <w:tcW w:w="2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John McMahon</w:t>
            </w: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41,325,832</w:t>
            </w:r>
          </w:p>
        </w:tc>
        <w:tc>
          <w:tcPr>
            <w:tcW w:w="100" w:type="dxa"/>
            <w:vAlign w:val="bottom"/>
          </w:tcPr>
          <w:p>
            <w:pPr>
              <w:spacing w:after="0"/>
              <w:rPr>
                <w:sz w:val="23"/>
                <w:szCs w:val="23"/>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6,205,536</w:t>
            </w:r>
          </w:p>
        </w:tc>
        <w:tc>
          <w:tcPr>
            <w:tcW w:w="10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7,619,717</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Approval, on a non-binding advisory basis, of the compensation of the Company’s named executive officers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stockholders approved, on a non-binding advisory basis, the compensation of the Company’s named executive officers, by the following votes:</w:t>
      </w:r>
    </w:p>
    <w:p>
      <w:pPr>
        <w:spacing w:after="0" w:line="172" w:lineRule="exact"/>
        <w:rPr>
          <w:sz w:val="20"/>
          <w:szCs w:val="20"/>
          <w:color w:val="auto"/>
        </w:rPr>
      </w:pPr>
    </w:p>
    <w:tbl>
      <w:tblPr>
        <w:tblLayout w:type="fixed"/>
        <w:tblInd w:w="1020" w:type="dxa"/>
        <w:tblCellMar>
          <w:top w:w="0" w:type="dxa"/>
          <w:left w:w="0" w:type="dxa"/>
          <w:bottom w:w="0" w:type="dxa"/>
          <w:right w:w="0" w:type="dxa"/>
        </w:tblCellMar>
      </w:tblPr>
      <w:tr>
        <w:trPr>
          <w:trHeight w:val="186"/>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For</w:t>
            </w:r>
          </w:p>
        </w:tc>
        <w:tc>
          <w:tcPr>
            <w:tcW w:w="2220" w:type="dxa"/>
            <w:vAlign w:val="bottom"/>
            <w:gridSpan w:val="2"/>
          </w:tcPr>
          <w:p>
            <w:pPr>
              <w:ind w:left="640"/>
              <w:spacing w:after="0"/>
              <w:rPr>
                <w:sz w:val="20"/>
                <w:szCs w:val="20"/>
                <w:color w:val="auto"/>
              </w:rPr>
            </w:pPr>
            <w:r>
              <w:rPr>
                <w:rFonts w:ascii="Arial" w:cs="Arial" w:eastAsia="Arial" w:hAnsi="Arial"/>
                <w:sz w:val="14"/>
                <w:szCs w:val="14"/>
                <w:b w:val="1"/>
                <w:bCs w:val="1"/>
                <w:color w:val="auto"/>
              </w:rPr>
              <w:t>Votes Against</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Abstentions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53"/>
        </w:trPr>
        <w:tc>
          <w:tcPr>
            <w:tcW w:w="2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37"/>
        </w:trPr>
        <w:tc>
          <w:tcPr>
            <w:tcW w:w="2460" w:type="dxa"/>
            <w:vAlign w:val="bottom"/>
          </w:tcPr>
          <w:p>
            <w:pPr>
              <w:jc w:val="right"/>
              <w:ind w:right="759"/>
              <w:spacing w:after="0"/>
              <w:rPr>
                <w:sz w:val="20"/>
                <w:szCs w:val="20"/>
                <w:color w:val="auto"/>
              </w:rPr>
            </w:pPr>
            <w:r>
              <w:rPr>
                <w:rFonts w:ascii="Arial" w:cs="Arial" w:eastAsia="Arial" w:hAnsi="Arial"/>
                <w:sz w:val="18"/>
                <w:szCs w:val="18"/>
                <w:color w:val="auto"/>
              </w:rPr>
              <w:t>37,012,965</w:t>
            </w:r>
          </w:p>
        </w:tc>
        <w:tc>
          <w:tcPr>
            <w:tcW w:w="100" w:type="dxa"/>
            <w:vAlign w:val="bottom"/>
          </w:tcPr>
          <w:p>
            <w:pPr>
              <w:spacing w:after="0"/>
              <w:rPr>
                <w:sz w:val="20"/>
                <w:szCs w:val="20"/>
                <w:color w:val="auto"/>
              </w:rPr>
            </w:pPr>
          </w:p>
        </w:tc>
        <w:tc>
          <w:tcPr>
            <w:tcW w:w="2120" w:type="dxa"/>
            <w:vAlign w:val="bottom"/>
          </w:tcPr>
          <w:p>
            <w:pPr>
              <w:ind w:left="640"/>
              <w:spacing w:after="0"/>
              <w:rPr>
                <w:sz w:val="20"/>
                <w:szCs w:val="20"/>
                <w:color w:val="auto"/>
              </w:rPr>
            </w:pPr>
            <w:r>
              <w:rPr>
                <w:rFonts w:ascii="Arial" w:cs="Arial" w:eastAsia="Arial" w:hAnsi="Arial"/>
                <w:sz w:val="18"/>
                <w:szCs w:val="18"/>
                <w:color w:val="auto"/>
              </w:rPr>
              <w:t>10,458,044</w:t>
            </w:r>
          </w:p>
        </w:tc>
        <w:tc>
          <w:tcPr>
            <w:tcW w:w="100" w:type="dxa"/>
            <w:vAlign w:val="bottom"/>
          </w:tcPr>
          <w:p>
            <w:pPr>
              <w:spacing w:after="0"/>
              <w:rPr>
                <w:sz w:val="20"/>
                <w:szCs w:val="20"/>
                <w:color w:val="auto"/>
              </w:rPr>
            </w:pPr>
          </w:p>
        </w:tc>
        <w:tc>
          <w:tcPr>
            <w:tcW w:w="2200" w:type="dxa"/>
            <w:vAlign w:val="bottom"/>
          </w:tcPr>
          <w:p>
            <w:pPr>
              <w:jc w:val="right"/>
              <w:ind w:right="779"/>
              <w:spacing w:after="0"/>
              <w:rPr>
                <w:sz w:val="20"/>
                <w:szCs w:val="20"/>
                <w:color w:val="auto"/>
              </w:rPr>
            </w:pPr>
            <w:r>
              <w:rPr>
                <w:rFonts w:ascii="Arial" w:cs="Arial" w:eastAsia="Arial" w:hAnsi="Arial"/>
                <w:sz w:val="18"/>
                <w:szCs w:val="18"/>
                <w:color w:val="auto"/>
              </w:rPr>
              <w:t>60,359</w:t>
            </w:r>
          </w:p>
        </w:tc>
        <w:tc>
          <w:tcPr>
            <w:tcW w:w="100" w:type="dxa"/>
            <w:vAlign w:val="bottom"/>
          </w:tcPr>
          <w:p>
            <w:pPr>
              <w:spacing w:after="0"/>
              <w:rPr>
                <w:sz w:val="20"/>
                <w:szCs w:val="20"/>
                <w:color w:val="auto"/>
              </w:rPr>
            </w:pPr>
          </w:p>
        </w:tc>
        <w:tc>
          <w:tcPr>
            <w:tcW w:w="2140" w:type="dxa"/>
            <w:vAlign w:val="bottom"/>
          </w:tcPr>
          <w:p>
            <w:pPr>
              <w:jc w:val="right"/>
              <w:ind w:right="639"/>
              <w:spacing w:after="0"/>
              <w:rPr>
                <w:sz w:val="20"/>
                <w:szCs w:val="20"/>
                <w:color w:val="auto"/>
              </w:rPr>
            </w:pPr>
            <w:r>
              <w:rPr>
                <w:rFonts w:ascii="Arial" w:cs="Arial" w:eastAsia="Arial" w:hAnsi="Arial"/>
                <w:sz w:val="18"/>
                <w:szCs w:val="18"/>
                <w:color w:val="auto"/>
              </w:rPr>
              <w:t>7,619,717</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Ratification of the selection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stockholders ratified the selection of PricewaterhouseCoopers LLP as the Company’s independent registered public accounting firm for the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Company’s fiscal year ending January 31, 2022, by the following votes: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Votes For</w:t>
            </w:r>
          </w:p>
        </w:tc>
        <w:tc>
          <w:tcPr>
            <w:tcW w:w="2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Votes Against</w:t>
            </w:r>
          </w:p>
        </w:tc>
        <w:tc>
          <w:tcPr>
            <w:tcW w:w="430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88"/>
              </w:rPr>
              <w:t>Abstentions</w:t>
            </w:r>
          </w:p>
        </w:tc>
      </w:tr>
      <w:tr>
        <w:trPr>
          <w:trHeight w:val="53"/>
        </w:trPr>
        <w:tc>
          <w:tcPr>
            <w:tcW w:w="2060" w:type="dxa"/>
            <w:vAlign w:val="bottom"/>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040" w:type="dxa"/>
            <w:vAlign w:val="bottom"/>
          </w:tcPr>
          <w:p>
            <w:pPr>
              <w:spacing w:after="0"/>
              <w:rPr>
                <w:sz w:val="4"/>
                <w:szCs w:val="4"/>
                <w:color w:val="auto"/>
              </w:rPr>
            </w:pPr>
          </w:p>
        </w:tc>
      </w:tr>
      <w:tr>
        <w:trPr>
          <w:trHeight w:val="224"/>
        </w:trPr>
        <w:tc>
          <w:tcPr>
            <w:tcW w:w="2060" w:type="dxa"/>
            <w:vAlign w:val="bottom"/>
          </w:tcPr>
          <w:p>
            <w:pPr>
              <w:spacing w:after="0"/>
              <w:rPr>
                <w:sz w:val="19"/>
                <w:szCs w:val="19"/>
                <w:color w:val="auto"/>
              </w:rPr>
            </w:pPr>
          </w:p>
        </w:tc>
        <w:tc>
          <w:tcPr>
            <w:tcW w:w="2360" w:type="dxa"/>
            <w:vAlign w:val="bottom"/>
          </w:tcPr>
          <w:p>
            <w:pPr>
              <w:jc w:val="right"/>
              <w:ind w:right="699"/>
              <w:spacing w:after="0"/>
              <w:rPr>
                <w:sz w:val="20"/>
                <w:szCs w:val="20"/>
                <w:color w:val="auto"/>
              </w:rPr>
            </w:pPr>
            <w:r>
              <w:rPr>
                <w:rFonts w:ascii="Arial" w:cs="Arial" w:eastAsia="Arial" w:hAnsi="Arial"/>
                <w:sz w:val="18"/>
                <w:szCs w:val="18"/>
                <w:color w:val="auto"/>
              </w:rPr>
              <w:t>54,911,239</w:t>
            </w:r>
          </w:p>
        </w:tc>
        <w:tc>
          <w:tcPr>
            <w:tcW w:w="120" w:type="dxa"/>
            <w:vAlign w:val="bottom"/>
          </w:tcPr>
          <w:p>
            <w:pPr>
              <w:spacing w:after="0"/>
              <w:rPr>
                <w:sz w:val="19"/>
                <w:szCs w:val="19"/>
                <w:color w:val="auto"/>
              </w:rPr>
            </w:pPr>
          </w:p>
        </w:tc>
        <w:tc>
          <w:tcPr>
            <w:tcW w:w="2280" w:type="dxa"/>
            <w:vAlign w:val="bottom"/>
          </w:tcPr>
          <w:p>
            <w:pPr>
              <w:jc w:val="right"/>
              <w:ind w:right="779"/>
              <w:spacing w:after="0"/>
              <w:rPr>
                <w:sz w:val="20"/>
                <w:szCs w:val="20"/>
                <w:color w:val="auto"/>
              </w:rPr>
            </w:pPr>
            <w:r>
              <w:rPr>
                <w:rFonts w:ascii="Arial" w:cs="Arial" w:eastAsia="Arial" w:hAnsi="Arial"/>
                <w:sz w:val="18"/>
                <w:szCs w:val="18"/>
                <w:color w:val="auto"/>
              </w:rPr>
              <w:t>224,584</w:t>
            </w:r>
          </w:p>
        </w:tc>
        <w:tc>
          <w:tcPr>
            <w:tcW w:w="120" w:type="dxa"/>
            <w:vAlign w:val="bottom"/>
          </w:tcPr>
          <w:p>
            <w:pPr>
              <w:spacing w:after="0"/>
              <w:rPr>
                <w:sz w:val="19"/>
                <w:szCs w:val="19"/>
                <w:color w:val="auto"/>
              </w:rPr>
            </w:pPr>
          </w:p>
        </w:tc>
        <w:tc>
          <w:tcPr>
            <w:tcW w:w="2260" w:type="dxa"/>
            <w:vAlign w:val="bottom"/>
          </w:tcPr>
          <w:p>
            <w:pPr>
              <w:jc w:val="right"/>
              <w:ind w:right="819"/>
              <w:spacing w:after="0"/>
              <w:rPr>
                <w:sz w:val="20"/>
                <w:szCs w:val="20"/>
                <w:color w:val="auto"/>
              </w:rPr>
            </w:pPr>
            <w:r>
              <w:rPr>
                <w:rFonts w:ascii="Arial" w:cs="Arial" w:eastAsia="Arial" w:hAnsi="Arial"/>
                <w:sz w:val="18"/>
                <w:szCs w:val="18"/>
                <w:color w:val="auto"/>
              </w:rPr>
              <w:t>15,262</w:t>
            </w:r>
          </w:p>
        </w:tc>
        <w:tc>
          <w:tcPr>
            <w:tcW w:w="2040" w:type="dxa"/>
            <w:vAlign w:val="bottom"/>
          </w:tcPr>
          <w:p>
            <w:pPr>
              <w:spacing w:after="0"/>
              <w:rPr>
                <w:sz w:val="19"/>
                <w:szCs w:val="19"/>
                <w:color w:val="auto"/>
              </w:rPr>
            </w:pPr>
          </w:p>
        </w:tc>
      </w:tr>
      <w:tr>
        <w:trPr>
          <w:trHeight w:val="1478"/>
        </w:trPr>
        <w:tc>
          <w:tcPr>
            <w:tcW w:w="20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9"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tabs>
          <w:tab w:leader="none" w:pos="5420" w:val="left"/>
          <w:tab w:leader="none" w:pos="6140" w:val="left"/>
        </w:tabs>
        <w:rPr>
          <w:sz w:val="20"/>
          <w:szCs w:val="20"/>
          <w:color w:val="auto"/>
        </w:rPr>
      </w:pPr>
      <w:r>
        <w:rPr>
          <w:rFonts w:ascii="Arial" w:cs="Arial" w:eastAsia="Arial" w:hAnsi="Arial"/>
          <w:sz w:val="18"/>
          <w:szCs w:val="18"/>
          <w:color w:val="auto"/>
        </w:rPr>
        <w:t>Dated: July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154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Andrew Stephens</w:t>
      </w:r>
    </w:p>
    <w:p>
      <w:pPr>
        <w:ind w:left="61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General Counsel and Secretary</w:t>
      </w:r>
    </w:p>
    <w:sectPr>
      <w:pgSz w:w="11900" w:h="16838" w:orient="portrait"/>
      <w:cols w:equalWidth="0" w:num="1">
        <w:col w:w="10780"/>
      </w:cols>
      <w:pgMar w:left="320" w:top="891"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2021-07-06T15:35:44Z</dcterms:created>
  <dcterms:modified xsi:type="dcterms:W3CDTF">2021-07-06T15:35:44Z</dcterms:modified>
</cp:coreProperties>
</file>