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4981.xml.htm"/>
      <w:bookmarkStart w:id="1" w:name="kswkform4_17830249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Hazard Charles M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FLYBRIDGE CAPITAL PARTNERS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BOYLSTON ST,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6"/>
        <w:gridCol w:w="934"/>
        <w:gridCol w:w="801"/>
        <w:gridCol w:w="620"/>
        <w:gridCol w:w="352"/>
        <w:gridCol w:w="797"/>
        <w:gridCol w:w="444"/>
        <w:gridCol w:w="613"/>
        <w:gridCol w:w="1160"/>
        <w:gridCol w:w="1001"/>
        <w:gridCol w:w="128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767</w:t>
            </w:r>
            <w:r>
              <w:rPr>
                <w:rFonts w:ascii="Times;serif" w:hAnsi="Times;serif"/>
                <w:color w:val="008000"/>
                <w:position w:val="7"/>
                <w:sz w:val="16"/>
                <w:sz w:val="20"/>
                <w:shd w:fill="FFFFFF" w:val="clear"/>
              </w:rPr>
              <w:t>(1)</w:t>
            </w:r>
            <w:r>
              <w:rPr/>
              <w:t xml:space="preserve"> </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45,634</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198</w:t>
            </w:r>
            <w:r>
              <w:rPr>
                <w:rFonts w:ascii="Times;serif" w:hAnsi="Times;serif"/>
                <w:color w:val="008000"/>
                <w:position w:val="7"/>
                <w:sz w:val="16"/>
                <w:sz w:val="20"/>
                <w:shd w:fill="FFFFFF" w:val="clear"/>
              </w:rPr>
              <w:t>(2)</w:t>
            </w:r>
            <w:r>
              <w:rPr/>
              <w:t xml:space="preserve"> </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45,832</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13,995</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19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Limited Partnership</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issued to the Reporting Person pursuant to the annual equity grant under the Issuer's non-employee director compensation policy. Each restricted stock unit represents a contingent right to receive one share of common stock of the Issuer and has no expiration date. The shares underlying the restricted stock unit award shall vest in full on the earlier of (i) the first anniversary of the grant date and (ii) the date of the Issuer's 2027 annual stockholders' meeting, subject to the Reporting Person providing continuous service to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fully vested shares issued to the Reporting Person who elected to receive stock in lieu of cash for services as a director under the Issuer's non-employee director compensation policy. The number of shares was calculated based on the 30-day volume-weighted average share price as of the date immediately prior to the date of issuance and the amount of fees owed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The Narragansett Bay Childrens Trust (the "Trust"). The Reporting Person is the Trustee of the Trust and, as such, has the power to vote and dispose of the shares held by the Trust. The Reporting Person disclaims beneficial ownership of the shares owned by the Trust except to the extent of his pecuniary interest therein and this report shall not be deemed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was appointed as the manager and general partner of a family limited partnership that owns the reported securities. The reporting person disclaims beneficial ownership of the reported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Gahee Lee,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9247"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880</Words>
  <Characters>4665</Characters>
  <CharactersWithSpaces>5470</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