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DSOUZA FRANCISCO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1633 BROADWAY, 38TH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MongoDB,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MDB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06/25/2024</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06/27/2024</w:t>
            </w:r>
          </w:p>
        </w:tc>
        <w:tc>
          <w:tcPr>
            <w:tcW w:w="240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820</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6,044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191</w:t>
            </w:r>
            <w:r>
              <w:rPr>
                <w:rFonts w:ascii="Times New Roman" w:cs="Times New Roman" w:eastAsia="Times New Roman" w:hAnsi="Times New Roman"/>
                <w:sz w:val="11"/>
                <w:szCs w:val="11"/>
                <w:color w:val="008000"/>
                <w:w w:val="93"/>
              </w:rPr>
              <w:t>(2)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6,235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issued to the Reporting Person pursuant to the annual equity grant under the Issuer's non-employee director compensation policy. Each restricted stock unit represents a contingent right to receive one share of Class A common stock of the Issuer and has no expiration date. The shares underlying the restricted stock unit award shall vest in full on the earlier of (i) the first anniversary of the grant date and (ii) the date of the Issuer's 2025 annual stockholders' meeting, subject to the Reporting Person providing continuous service to the Issuer through such date.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issued to the Reporting Person who elected to receive stock in lieu of cash for services as a director under the Issuer's non-employee director compensation policy. The number of shares was calculated based on the 30-day volume-weighted average share price as of the date immediately prior to the date of issuance and the amount of fees owed to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80"/>
        <w:spacing w:after="0" w:line="245" w:lineRule="auto"/>
        <w:rPr>
          <w:sz w:val="20"/>
          <w:szCs w:val="20"/>
          <w:color w:val="auto"/>
        </w:rPr>
      </w:pPr>
      <w:r>
        <w:rPr>
          <w:rFonts w:ascii="Times New Roman" w:cs="Times New Roman" w:eastAsia="Times New Roman" w:hAnsi="Times New Roman"/>
          <w:sz w:val="13"/>
          <w:szCs w:val="13"/>
          <w:color w:val="008000"/>
        </w:rPr>
        <w:t>On June 27, 2024, the Reporting Person filed a Form 4 which, due to an inadvertent administrative error, incorrectly set forth the number of shares of Class A Common Stock (the "Shares") received by the Reporting Person in connection with the Reporting Person's (i) receipt of restricted stock units pursuant to the Reporting Person's annual equity grant under the Issuer's non-employee director compensation policy and (ii) receipt of Shares in lieu of the Reporting Person's cash for services as a non-employee director. This Form 4/A is being filed to correctly set forth the number of Shares earned by the Reporting Person.</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Paul Johnston, Attorney-in- </w:t>
      </w:r>
      <w:r>
        <w:rPr>
          <w:rFonts w:ascii="Times New Roman" w:cs="Times New Roman" w:eastAsia="Times New Roman" w:hAnsi="Times New Roman"/>
          <w:sz w:val="33"/>
          <w:szCs w:val="33"/>
          <w:color w:val="0000FF"/>
          <w:vertAlign w:val="subscript"/>
        </w:rPr>
        <w:t>06/28/2024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31715"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2024-06-28T17:22:36Z</dcterms:created>
  <dcterms:modified xsi:type="dcterms:W3CDTF">2024-06-28T17:22:36Z</dcterms:modified>
</cp:coreProperties>
</file>