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19612772.xml.htm"/>
      <w:bookmarkStart w:id="1" w:name="kswkform4a_17196127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Hazard Charles M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FLYBRIDGE CAPITAL PARTNERS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BOYLSTON ST,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06/25/2024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06/27/2024</w:t>
            </w:r>
            <w:r>
              <w:rPr/>
              <w:t xml:space="preserve"> </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06/25/2024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820</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53,226</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06/25/2024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202</w:t>
            </w:r>
            <w:r>
              <w:rPr>
                <w:rFonts w:ascii="Times;serif" w:hAnsi="Times;serif"/>
                <w:color w:val="008000"/>
                <w:position w:val="7"/>
                <w:sz w:val="16"/>
                <w:sz w:val="20"/>
                <w:shd w:fill="FFFFFF" w:val="clear"/>
              </w:rPr>
              <w:t>(2)</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53,428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issued to the Reporting Person pursuant to the annual equity grant under the Issuer's non-employee director compensation policy. Each restricted stock unit represents a contingent right to receive one share of Class A common stock of the Issuer and has no expiration date. The shares underlying the restricted stock unit award shall vest in full on the earlier of (i) the first anniversary of the grant date and (ii) the date of the Issuer's 2025 annual stockholders' meeting, subject to the Reporting Person providing continuous service to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fully vested shares issued to the Reporting Person who elected to receive stock in lieu of cash for services as a director under the Issuer's non-employee director compensation policy. The number of shares was calculated based on the 30-day volume-weighted average share price as of the date immediately prior to the date of issuance and the amount of fees owed to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On June 27, 2024, the Reporting Person filed a Form 4 which, due to an inadvertent administrative error, incorrectly set forth the number of shares of Class A Common Stock (the "Shares") received by the Reporting Person in connection with the Reporting Person's (i) receipt of restricted stock units pursuant to the Reporting Person's annual equity grant under the Issuer's non-employee director compensation policy and (ii) receipt of Shares in lieu of the Reporting Person's cash for services as a non-employee director. This Form 4/A is being filed to correctly set forth the number of Shares earned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339247" TargetMode="External"/><Relationship Id="rId4" Type="http://schemas.openxmlformats.org/officeDocument/2006/relationships/hyperlink" Target="http://www.sec.gov/cgi-bin/browse-edgar?action=getcompany&amp;CIK=0001441816"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834</Words>
  <Characters>4477</Characters>
  <CharactersWithSpaces>5243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