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19612799.xml.htm"/>
      <w:bookmarkStart w:id="1" w:name="kswkform4a_17196127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Cochran Hope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 DB,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06/27/2024</w:t>
            </w:r>
            <w:r>
              <w:rPr/>
              <w:t xml:space="preserve"> </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820</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13,831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pursuant to the annual equity grant under the Issuer's non-employee director compensation policy. Each restricted stock unit represents a contingent right to receive one share of Class A common stock of the Issuer and has no expiration date. The shares underlying the restricted stock unit award shall vest in full on the earlier of (i) the first anniversary of the grant date and (ii) the date of the Issuer's 2025 annual stockholders' meeting, subject to the Reporting Person providing continuous service to the Issuer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June 27, 2024, the Reporting Person filed a Form 4 which, due to an inadvertent administrative error, incorrectly set forth the number of shares of Class A Common Stock (the "Shares") received by the Reporting Person in connection with the Reporting Person's receipt of restricted stock units pursuant to the Reporting Person's annual equity grant under the Issuer's non-employee director compensation policy. This Form 4/A is being filed to correctly set forth the number of Shares earned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392352" TargetMode="External"/><Relationship Id="rId4" Type="http://schemas.openxmlformats.org/officeDocument/2006/relationships/hyperlink" Target="http://www.sec.gov/cgi-bin/browse-edgar?action=getcompany&amp;CIK=0001441816"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3991</Characters>
  <CharactersWithSpaces>4667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