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MERRIMAN DWIGHT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00" w:type="dxa"/>
            <w:vAlign w:val="bottom"/>
            <w:gridSpan w:val="5"/>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MongoDB,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MDB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MONGODB, INC.</w:t>
            </w:r>
          </w:p>
        </w:tc>
        <w:tc>
          <w:tcPr>
            <w:tcW w:w="1100" w:type="dxa"/>
            <w:vAlign w:val="bottom"/>
          </w:tcPr>
          <w:p>
            <w:pPr>
              <w:spacing w:after="0"/>
              <w:rPr>
                <w:sz w:val="18"/>
                <w:szCs w:val="18"/>
                <w:color w:val="auto"/>
              </w:rPr>
            </w:pPr>
          </w:p>
        </w:tc>
        <w:tc>
          <w:tcPr>
            <w:tcW w:w="156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04/01/2022</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1633 BROADWAY, 38TH FLOOR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7"/>
            <w:vMerge w:val="continue"/>
          </w:tcPr>
          <w:p>
            <w:pPr>
              <w:spacing w:after="0"/>
              <w:rPr>
                <w:sz w:val="6"/>
                <w:szCs w:val="6"/>
                <w:color w:val="auto"/>
              </w:rPr>
            </w:pPr>
          </w:p>
        </w:tc>
        <w:tc>
          <w:tcPr>
            <w:tcW w:w="42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60" w:type="dxa"/>
            <w:vAlign w:val="bottom"/>
            <w:gridSpan w:val="5"/>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04/05/2022</w:t>
            </w:r>
          </w:p>
        </w:tc>
        <w:tc>
          <w:tcPr>
            <w:tcW w:w="2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0" w:type="dxa"/>
            <w:vAlign w:val="bottom"/>
            <w:gridSpan w:val="11"/>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22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5"/>
          </w:tcPr>
          <w:p>
            <w:pPr>
              <w:ind w:left="5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89"/>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14,000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lef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1,337,384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442.17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1,337,084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787</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443.08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1,336,297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446.38</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1,335,857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447.31</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1,335,647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935</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ind w:left="6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448.6</w:t>
            </w:r>
            <w:r>
              <w:rPr>
                <w:rFonts w:ascii="Times New Roman" w:cs="Times New Roman" w:eastAsia="Times New Roman" w:hAnsi="Times New Roman"/>
                <w:sz w:val="21"/>
                <w:szCs w:val="21"/>
                <w:color w:val="008000"/>
                <w:w w:val="93"/>
                <w:vertAlign w:val="superscript"/>
              </w:rPr>
              <w:t>(6)</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1,334,712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374</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449.19</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1,334,338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ind w:left="6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451.2</w:t>
            </w:r>
            <w:r>
              <w:rPr>
                <w:rFonts w:ascii="Times New Roman" w:cs="Times New Roman" w:eastAsia="Times New Roman" w:hAnsi="Times New Roman"/>
                <w:sz w:val="21"/>
                <w:szCs w:val="21"/>
                <w:color w:val="008000"/>
                <w:w w:val="93"/>
                <w:vertAlign w:val="superscript"/>
              </w:rPr>
              <w:t>(8)</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1,333,838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741</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452.28</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1,333,097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453.38</w:t>
            </w:r>
            <w:r>
              <w:rPr>
                <w:rFonts w:ascii="Times New Roman" w:cs="Times New Roman" w:eastAsia="Times New Roman" w:hAnsi="Times New Roman"/>
                <w:sz w:val="21"/>
                <w:szCs w:val="21"/>
                <w:color w:val="008000"/>
                <w:w w:val="90"/>
                <w:vertAlign w:val="superscript"/>
              </w:rPr>
              <w:t>(10)</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1,332,897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454.66</w:t>
            </w:r>
            <w:r>
              <w:rPr>
                <w:rFonts w:ascii="Times New Roman" w:cs="Times New Roman" w:eastAsia="Times New Roman" w:hAnsi="Times New Roman"/>
                <w:sz w:val="21"/>
                <w:szCs w:val="21"/>
                <w:color w:val="008000"/>
                <w:w w:val="90"/>
                <w:vertAlign w:val="superscript"/>
              </w:rPr>
              <w:t>(11)</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1,332,453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458.19</w:t>
            </w:r>
            <w:r>
              <w:rPr>
                <w:rFonts w:ascii="Times New Roman" w:cs="Times New Roman" w:eastAsia="Times New Roman" w:hAnsi="Times New Roman"/>
                <w:sz w:val="21"/>
                <w:szCs w:val="21"/>
                <w:color w:val="008000"/>
                <w:w w:val="90"/>
                <w:vertAlign w:val="superscript"/>
              </w:rPr>
              <w:t>(12)</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1,331,153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1,407</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459.16</w:t>
            </w:r>
            <w:r>
              <w:rPr>
                <w:rFonts w:ascii="Times New Roman" w:cs="Times New Roman" w:eastAsia="Times New Roman" w:hAnsi="Times New Roman"/>
                <w:sz w:val="21"/>
                <w:szCs w:val="21"/>
                <w:color w:val="008000"/>
                <w:w w:val="90"/>
                <w:vertAlign w:val="superscript"/>
              </w:rPr>
              <w:t>(13)</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1,329,746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459.99</w:t>
            </w:r>
            <w:r>
              <w:rPr>
                <w:rFonts w:ascii="Times New Roman" w:cs="Times New Roman" w:eastAsia="Times New Roman" w:hAnsi="Times New Roman"/>
                <w:sz w:val="21"/>
                <w:szCs w:val="21"/>
                <w:color w:val="008000"/>
                <w:w w:val="90"/>
                <w:vertAlign w:val="superscript"/>
              </w:rPr>
              <w:t>(14)</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1,328,786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461.38</w:t>
            </w:r>
            <w:r>
              <w:rPr>
                <w:rFonts w:ascii="Times New Roman" w:cs="Times New Roman" w:eastAsia="Times New Roman" w:hAnsi="Times New Roman"/>
                <w:sz w:val="21"/>
                <w:szCs w:val="21"/>
                <w:color w:val="008000"/>
                <w:w w:val="90"/>
                <w:vertAlign w:val="superscript"/>
              </w:rPr>
              <w:t>(15)</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1,327,686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585</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462.48</w:t>
            </w:r>
            <w:r>
              <w:rPr>
                <w:rFonts w:ascii="Times New Roman" w:cs="Times New Roman" w:eastAsia="Times New Roman" w:hAnsi="Times New Roman"/>
                <w:sz w:val="21"/>
                <w:szCs w:val="21"/>
                <w:color w:val="008000"/>
                <w:w w:val="90"/>
                <w:vertAlign w:val="superscript"/>
              </w:rPr>
              <w:t>(16)</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1,327,101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701</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463.47</w:t>
            </w:r>
            <w:r>
              <w:rPr>
                <w:rFonts w:ascii="Times New Roman" w:cs="Times New Roman" w:eastAsia="Times New Roman" w:hAnsi="Times New Roman"/>
                <w:sz w:val="21"/>
                <w:szCs w:val="21"/>
                <w:color w:val="008000"/>
                <w:w w:val="90"/>
                <w:vertAlign w:val="superscript"/>
              </w:rPr>
              <w:t>(17)</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1,326,400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635</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464.51</w:t>
            </w:r>
            <w:r>
              <w:rPr>
                <w:rFonts w:ascii="Times New Roman" w:cs="Times New Roman" w:eastAsia="Times New Roman" w:hAnsi="Times New Roman"/>
                <w:sz w:val="21"/>
                <w:szCs w:val="21"/>
                <w:color w:val="008000"/>
                <w:w w:val="90"/>
                <w:vertAlign w:val="superscript"/>
              </w:rPr>
              <w:t>(18)</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1,325,765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465.33</w:t>
            </w:r>
            <w:r>
              <w:rPr>
                <w:rFonts w:ascii="Times New Roman" w:cs="Times New Roman" w:eastAsia="Times New Roman" w:hAnsi="Times New Roman"/>
                <w:sz w:val="21"/>
                <w:szCs w:val="21"/>
                <w:color w:val="008000"/>
                <w:w w:val="90"/>
                <w:vertAlign w:val="superscript"/>
              </w:rPr>
              <w:t>(19)</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1,325,700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366</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466.73</w:t>
            </w:r>
            <w:r>
              <w:rPr>
                <w:rFonts w:ascii="Times New Roman" w:cs="Times New Roman" w:eastAsia="Times New Roman" w:hAnsi="Times New Roman"/>
                <w:sz w:val="21"/>
                <w:szCs w:val="21"/>
                <w:color w:val="008000"/>
                <w:w w:val="90"/>
                <w:vertAlign w:val="superscript"/>
              </w:rPr>
              <w:t>(20)</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1,325,334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1,150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467.95</w:t>
            </w:r>
            <w:r>
              <w:rPr>
                <w:rFonts w:ascii="Times New Roman" w:cs="Times New Roman" w:eastAsia="Times New Roman" w:hAnsi="Times New Roman"/>
                <w:sz w:val="21"/>
                <w:szCs w:val="21"/>
                <w:color w:val="008000"/>
                <w:w w:val="90"/>
                <w:vertAlign w:val="superscript"/>
              </w:rPr>
              <w:t>(21)</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1,324,184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469.21</w:t>
            </w:r>
            <w:r>
              <w:rPr>
                <w:rFonts w:ascii="Times New Roman" w:cs="Times New Roman" w:eastAsia="Times New Roman" w:hAnsi="Times New Roman"/>
                <w:sz w:val="21"/>
                <w:szCs w:val="21"/>
                <w:color w:val="008000"/>
                <w:w w:val="90"/>
                <w:vertAlign w:val="superscript"/>
              </w:rPr>
              <w:t>(22)</w:t>
            </w: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1,323,484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ind w:left="6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470.39</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7"/>
                <w:szCs w:val="17"/>
                <w:color w:val="0000FF"/>
              </w:rPr>
              <w:t>1,323,384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7"/>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8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3"/>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-1657985</wp:posOffset>
            </wp:positionV>
            <wp:extent cx="29210" cy="1879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79600"/>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00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10058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restart"/>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spacing w:after="0"/>
              <w:rPr>
                <w:sz w:val="5"/>
                <w:szCs w:val="5"/>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04/01/2022</w:t>
            </w: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14,000</w:t>
            </w: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03/07/2023</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154,750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$441.84 to $442.33,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$443.06 to $443.19,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$445.91 to $446.87,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$446.91 to $447.73,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$448.05 to $448.99,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$449.07 to $449.53,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$450.83 to $451.71,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6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$451.91 to $452.58,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$453.04 to $453.73,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$454.48 to $455.34,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$457.62 to $458.52,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$458.64 to $459.60,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$459.79 to $460.41,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$460.84 to $461.57,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$461.93 to $462.90,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$462.99 to $463.95,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$464.04 to $464.91,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$465.24 to $465.38,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$466.36 to $467.27,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$467.50 to $468.49,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$468.88 to $469.74, inclusive. The Reporting Person undertakes to provide to the</w:t>
      </w:r>
    </w:p>
    <w:p>
      <w:pPr>
        <w:spacing w:after="0" w:line="6" w:lineRule="exact"/>
        <w:rPr>
          <w:rFonts w:ascii="Times New Roman" w:cs="Times New Roman" w:eastAsia="Times New Roman" w:hAnsi="Times New Roman"/>
          <w:sz w:val="13"/>
          <w:szCs w:val="13"/>
          <w:color w:val="008000"/>
        </w:rPr>
      </w:pPr>
    </w:p>
    <w:p>
      <w:pPr>
        <w:ind w:left="20" w:right="16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 holder of the Issuer or the staff of the Securities Exchange Commission, upon request, full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Immediately exercisable and fully vested.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right="240"/>
        <w:spacing w:after="0" w:line="255" w:lineRule="auto"/>
        <w:rPr>
          <w:sz w:val="20"/>
          <w:szCs w:val="20"/>
          <w:color w:val="auto"/>
        </w:rPr>
      </w:pPr>
      <w:r>
        <w:rPr>
          <w:rFonts w:ascii="Times New Roman" w:cs="Times New Roman" w:eastAsia="Times New Roman" w:hAnsi="Times New Roman"/>
          <w:sz w:val="13"/>
          <w:szCs w:val="13"/>
          <w:color w:val="008000"/>
        </w:rPr>
        <w:t>This amended report is being filed to correct the Reporting Person's Form 4 filed with the Securities and Exchange Commission on April 5, 2022 to include (i) the acquisition of 14,000 shares of common stock through the exercise of stock options on April 1, 2022 and (ii) the exercise of stock options on April 1, 2022, which were both erroneously omitted from the original Form 4 filing on April 5, 2022.</w:t>
      </w:r>
    </w:p>
    <w:p>
      <w:pPr>
        <w:spacing w:after="0" w:line="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Paul Johnston,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3785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2022-05-04T16:46:57Z</dcterms:created>
  <dcterms:modified xsi:type="dcterms:W3CDTF">2022-05-04T16:46:57Z</dcterms:modified>
</cp:coreProperties>
</file>