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0001269088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MongoDB,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001-38240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1633 Broadway, 38th Floor</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New York</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10019</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646-727-4092</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Michael J. Berry</w:t>
      </w:r>
    </w:p>
    <w:p>
      <w:pPr>
        <w:spacing w:after="0" w:line="44" w:lineRule="exact"/>
        <w:rPr>
          <w:sz w:val="24"/>
          <w:szCs w:val="24"/>
          <w:color w:val="auto"/>
        </w:rPr>
      </w:pPr>
    </w:p>
    <w:p>
      <w:pPr>
        <w:sectPr>
          <w:pgSz w:w="11900" w:h="16838" w:orient="portrait"/>
          <w:cols w:equalWidth="0" w:num="2">
            <w:col w:w="7220" w:space="720"/>
            <w:col w:w="33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J.P. Morgan Securities</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LLC</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270 Park Avenue, 10th</w:t>
            </w:r>
          </w:p>
        </w:tc>
        <w:tc>
          <w:tcPr>
            <w:tcW w:w="130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10000</w:t>
            </w:r>
          </w:p>
        </w:tc>
        <w:tc>
          <w:tcPr>
            <w:tcW w:w="1140" w:type="dxa"/>
            <w:vAlign w:val="bottom"/>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3428000</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80431927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06/15/2026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2840"/>
        <w:spacing w:after="0"/>
        <w:tabs>
          <w:tab w:leader="none" w:pos="4660" w:val="left"/>
          <w:tab w:leader="none" w:pos="5920" w:val="left"/>
          <w:tab w:leader="none" w:pos="6280" w:val="left"/>
          <w:tab w:leader="none" w:pos="740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tabs>
          <w:tab w:leader="none" w:pos="4240" w:val="left"/>
          <w:tab w:leader="none" w:pos="8500" w:val="left"/>
        </w:tabs>
        <w:rPr>
          <w:sz w:val="20"/>
          <w:szCs w:val="20"/>
          <w:color w:val="auto"/>
        </w:rPr>
      </w:pPr>
      <w:r>
        <w:rPr>
          <w:rFonts w:ascii="Times New Roman" w:cs="Times New Roman" w:eastAsia="Times New Roman" w:hAnsi="Times New Roman"/>
          <w:sz w:val="22"/>
          <w:szCs w:val="22"/>
          <w:color w:val="auto"/>
        </w:rPr>
        <w:t>Common Stock 04/29/2025 Purchase</w:t>
      </w:r>
      <w:r>
        <w:rPr>
          <w:sz w:val="20"/>
          <w:szCs w:val="20"/>
          <w:color w:val="auto"/>
        </w:rPr>
        <w:tab/>
      </w:r>
      <w:r>
        <w:rPr>
          <w:rFonts w:ascii="Times New Roman" w:cs="Times New Roman" w:eastAsia="Times New Roman" w:hAnsi="Times New Roman"/>
          <w:sz w:val="22"/>
          <w:szCs w:val="22"/>
          <w:color w:val="auto"/>
        </w:rPr>
        <w:t xml:space="preserve">Open Market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10000</w:t>
      </w:r>
      <w:r>
        <w:rPr>
          <w:sz w:val="20"/>
          <w:szCs w:val="20"/>
          <w:color w:val="auto"/>
        </w:rPr>
        <w:tab/>
      </w:r>
      <w:r>
        <w:rPr>
          <w:rFonts w:ascii="Times New Roman" w:cs="Times New Roman" w:eastAsia="Times New Roman" w:hAnsi="Times New Roman"/>
          <w:sz w:val="21"/>
          <w:szCs w:val="21"/>
          <w:color w:val="auto"/>
        </w:rPr>
        <w:t>04/29/2025 Cash</w:t>
      </w:r>
    </w:p>
    <w:p>
      <w:pPr>
        <w:spacing w:after="0" w:line="2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22"/>
          <w:szCs w:val="22"/>
          <w:color w:val="auto"/>
        </w:rPr>
        <w:t>The shares covered by this filing will be sold by the Berry Family Trust, Michael J. Berry as Trustee.</w:t>
      </w:r>
    </w:p>
    <w:p>
      <w:pPr>
        <w:spacing w:after="0"/>
        <w:rPr>
          <w:sz w:val="20"/>
          <w:szCs w:val="20"/>
          <w:color w:val="auto"/>
        </w:rPr>
      </w:pPr>
      <w:r>
        <w:rPr>
          <w:rFonts w:ascii="Times New Roman" w:cs="Times New Roman" w:eastAsia="Times New Roman" w:hAnsi="Times New Roman"/>
          <w:sz w:val="22"/>
          <w:szCs w:val="22"/>
          <w:color w:val="auto"/>
        </w:rPr>
        <w:t>06/15/2026</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12/18/2025</w:t>
      </w:r>
    </w:p>
    <w:p>
      <w:pPr>
        <w:spacing w:after="0" w:line="612" w:lineRule="exact"/>
        <w:rPr>
          <w:sz w:val="20"/>
          <w:szCs w:val="20"/>
          <w:color w:val="auto"/>
        </w:rPr>
      </w:pPr>
    </w:p>
    <w:p>
      <w:pPr>
        <w:sectPr>
          <w:pgSz w:w="11900" w:h="16838" w:orient="portrait"/>
          <w:cols w:equalWidth="0" w:num="2">
            <w:col w:w="4360" w:space="460"/>
            <w:col w:w="642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8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200" w:type="dxa"/>
            <w:vAlign w:val="bottom"/>
          </w:tcPr>
          <w:p>
            <w:pPr>
              <w:ind w:left="1980"/>
              <w:spacing w:after="0"/>
              <w:rPr>
                <w:sz w:val="20"/>
                <w:szCs w:val="20"/>
                <w:color w:val="auto"/>
              </w:rPr>
            </w:pPr>
            <w:r>
              <w:rPr>
                <w:rFonts w:ascii="Times New Roman" w:cs="Times New Roman" w:eastAsia="Times New Roman" w:hAnsi="Times New Roman"/>
                <w:sz w:val="22"/>
                <w:szCs w:val="22"/>
                <w:color w:val="auto"/>
                <w:w w:val="97"/>
              </w:rPr>
              <w:t>/s/ J.P. Morgan Securities LLC as agent and attorney-in-fact for Michael</w:t>
            </w:r>
          </w:p>
        </w:tc>
        <w:tc>
          <w:tcPr>
            <w:tcW w:w="0" w:type="dxa"/>
            <w:vAlign w:val="bottom"/>
          </w:tcPr>
          <w:p>
            <w:pPr>
              <w:spacing w:after="0"/>
              <w:rPr>
                <w:sz w:val="1"/>
                <w:szCs w:val="1"/>
                <w:color w:val="auto"/>
              </w:rPr>
            </w:pPr>
          </w:p>
        </w:tc>
      </w:tr>
      <w:tr>
        <w:trPr>
          <w:trHeight w:val="161"/>
        </w:trPr>
        <w:tc>
          <w:tcPr>
            <w:tcW w:w="2800" w:type="dxa"/>
            <w:vAlign w:val="bottom"/>
            <w:vMerge w:val="continue"/>
          </w:tcPr>
          <w:p>
            <w:pPr>
              <w:spacing w:after="0"/>
              <w:rPr>
                <w:sz w:val="13"/>
                <w:szCs w:val="13"/>
                <w:color w:val="auto"/>
              </w:rPr>
            </w:pPr>
          </w:p>
        </w:tc>
        <w:tc>
          <w:tcPr>
            <w:tcW w:w="8200" w:type="dxa"/>
            <w:vAlign w:val="bottom"/>
            <w:vMerge w:val="restart"/>
          </w:tcPr>
          <w:p>
            <w:pPr>
              <w:ind w:left="1980"/>
              <w:spacing w:after="0"/>
              <w:rPr>
                <w:sz w:val="20"/>
                <w:szCs w:val="20"/>
                <w:color w:val="auto"/>
              </w:rPr>
            </w:pPr>
            <w:r>
              <w:rPr>
                <w:rFonts w:ascii="Times New Roman" w:cs="Times New Roman" w:eastAsia="Times New Roman" w:hAnsi="Times New Roman"/>
                <w:sz w:val="22"/>
                <w:szCs w:val="22"/>
                <w:color w:val="auto"/>
              </w:rPr>
              <w:t>J. Berry</w:t>
            </w:r>
          </w:p>
        </w:tc>
        <w:tc>
          <w:tcPr>
            <w:tcW w:w="0" w:type="dxa"/>
            <w:vAlign w:val="bottom"/>
          </w:tcPr>
          <w:p>
            <w:pPr>
              <w:spacing w:after="0"/>
              <w:rPr>
                <w:sz w:val="1"/>
                <w:szCs w:val="1"/>
                <w:color w:val="auto"/>
              </w:rPr>
            </w:pPr>
          </w:p>
        </w:tc>
      </w:tr>
      <w:tr>
        <w:trPr>
          <w:trHeight w:val="122"/>
        </w:trPr>
        <w:tc>
          <w:tcPr>
            <w:tcW w:w="2800" w:type="dxa"/>
            <w:vAlign w:val="bottom"/>
          </w:tcPr>
          <w:p>
            <w:pPr>
              <w:spacing w:after="0"/>
              <w:rPr>
                <w:sz w:val="10"/>
                <w:szCs w:val="10"/>
                <w:color w:val="auto"/>
              </w:rPr>
            </w:pPr>
          </w:p>
        </w:tc>
        <w:tc>
          <w:tcPr>
            <w:tcW w:w="8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2026-06-15T15:36:43Z</dcterms:created>
  <dcterms:modified xsi:type="dcterms:W3CDTF">2026-06-15T15:36:43Z</dcterms:modified>
</cp:coreProperties>
</file>