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577208.xml.htm"/>
      <w:bookmarkStart w:id="1" w:name="kswkform4_17915772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BERRY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MONGODB,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BROADWAY, 38TH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MongoDB,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3,292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61,447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3,292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15,705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transfer of 3,292 shares from the Reporting Person to The Berry Family Trust, which is an exempt transaction pursuant to Rule 16a-13.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are held by The Berry Family Trust, a revocable trust of which the Reporting Person is a trustee and a beneficiary.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Johnston,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9088" TargetMode="External"/><Relationship Id="rId5" Type="http://schemas.openxmlformats.org/officeDocument/2006/relationships/hyperlink" Target="http://www.sec.gov/cgi-bin/browse-edgar?action=getcompany&amp;CIK=0001441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3372</Characters>
  <CharactersWithSpaces>3920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