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962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962265"/>
                    </a:xfrm>
                    <a:prstGeom prst="rect">
                      <a:avLst/>
                    </a:prstGeom>
                    <a:noFill/>
                  </pic:spPr>
                </pic:pic>
              </a:graphicData>
            </a:graphic>
          </wp:anchor>
        </w:drawing>
      </w:r>
    </w:p>
    <w:p>
      <w:pPr>
        <w:spacing w:after="0" w:line="1222" w:lineRule="exact"/>
        <w:rPr>
          <w:sz w:val="24"/>
          <w:szCs w:val="24"/>
          <w:color w:val="auto"/>
        </w:rPr>
      </w:pPr>
    </w:p>
    <w:p>
      <w:pPr>
        <w:sectPr>
          <w:pgSz w:w="11900" w:h="16923"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BOTHA ROELOF</w:t>
              </w:r>
            </w:hyperlink>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MongoDB,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MDB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60" w:type="dxa"/>
            <w:vAlign w:val="bottom"/>
            <w:gridSpan w:val="3"/>
            <w:vMerge w:val="continue"/>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Borders>
              <w:bottom w:val="single" w:sz="8" w:color="0000EE"/>
            </w:tcBorders>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60" w:type="dxa"/>
            <w:vAlign w:val="bottom"/>
            <w:gridSpan w:val="3"/>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4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54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4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54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8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80" w:type="dxa"/>
            <w:vAlign w:val="bottom"/>
            <w:gridSpan w:val="2"/>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5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24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SEQUOIA CAPITAL</w:t>
            </w:r>
          </w:p>
        </w:tc>
        <w:tc>
          <w:tcPr>
            <w:tcW w:w="1480" w:type="dxa"/>
            <w:vAlign w:val="bottom"/>
          </w:tcPr>
          <w:p>
            <w:pPr>
              <w:spacing w:after="0"/>
              <w:rPr>
                <w:sz w:val="11"/>
                <w:szCs w:val="11"/>
                <w:color w:val="auto"/>
              </w:rPr>
            </w:pPr>
          </w:p>
        </w:tc>
        <w:tc>
          <w:tcPr>
            <w:tcW w:w="1500" w:type="dxa"/>
            <w:vAlign w:val="bottom"/>
            <w:gridSpan w:val="3"/>
            <w:vMerge w:val="continue"/>
          </w:tcPr>
          <w:p>
            <w:pPr>
              <w:spacing w:after="0"/>
              <w:rPr>
                <w:sz w:val="11"/>
                <w:szCs w:val="11"/>
                <w:color w:val="auto"/>
              </w:rPr>
            </w:pPr>
          </w:p>
        </w:tc>
        <w:tc>
          <w:tcPr>
            <w:tcW w:w="24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1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2800 SAND HILL ROAD, SUITE 101</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40" w:type="dxa"/>
            <w:vAlign w:val="bottom"/>
            <w:tcBorders>
              <w:bottom w:val="single" w:sz="8" w:color="2C2C2C"/>
            </w:tcBorders>
          </w:tcPr>
          <w:p>
            <w:pPr>
              <w:spacing w:after="0"/>
              <w:rPr>
                <w:sz w:val="12"/>
                <w:szCs w:val="12"/>
                <w:color w:val="auto"/>
              </w:rPr>
            </w:pPr>
          </w:p>
        </w:tc>
        <w:tc>
          <w:tcPr>
            <w:tcW w:w="24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923"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94025</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923"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3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808080"/>
            </w:tcBorders>
          </w:tcPr>
          <w:p>
            <w:pPr>
              <w:spacing w:after="0"/>
              <w:rPr>
                <w:sz w:val="13"/>
                <w:szCs w:val="13"/>
                <w:color w:val="auto"/>
              </w:rPr>
            </w:pPr>
          </w:p>
        </w:tc>
        <w:tc>
          <w:tcPr>
            <w:tcW w:w="540" w:type="dxa"/>
            <w:vAlign w:val="bottom"/>
            <w:tcBorders>
              <w:bottom w:val="single" w:sz="8" w:color="808080"/>
            </w:tcBorders>
          </w:tcPr>
          <w:p>
            <w:pPr>
              <w:spacing w:after="0"/>
              <w:rPr>
                <w:sz w:val="13"/>
                <w:szCs w:val="13"/>
                <w:color w:val="auto"/>
              </w:rPr>
            </w:pPr>
          </w:p>
        </w:tc>
        <w:tc>
          <w:tcPr>
            <w:tcW w:w="84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64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Borders>
              <w:top w:val="single" w:sz="8" w:color="2C2C2C"/>
            </w:tcBorders>
          </w:tcPr>
          <w:p>
            <w:pPr>
              <w:spacing w:after="0"/>
              <w:rPr>
                <w:sz w:val="7"/>
                <w:szCs w:val="7"/>
                <w:color w:val="auto"/>
              </w:rPr>
            </w:pPr>
          </w:p>
        </w:tc>
        <w:tc>
          <w:tcPr>
            <w:tcW w:w="54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ind w:right="71"/>
              <w:spacing w:after="0"/>
              <w:rPr>
                <w:sz w:val="20"/>
                <w:szCs w:val="20"/>
                <w:color w:val="auto"/>
              </w:rPr>
            </w:pPr>
            <w:r>
              <w:rPr>
                <w:rFonts w:ascii="Arial" w:cs="Arial" w:eastAsia="Arial" w:hAnsi="Arial"/>
                <w:sz w:val="12"/>
                <w:szCs w:val="12"/>
                <w:b w:val="1"/>
                <w:bCs w:val="1"/>
                <w:color w:val="auto"/>
                <w:w w:val="99"/>
              </w:rPr>
              <w:t>(A) or</w:t>
            </w:r>
          </w:p>
        </w:tc>
        <w:tc>
          <w:tcPr>
            <w:tcW w:w="64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Borders>
              <w:bottom w:val="single" w:sz="8" w:color="2C2C2C"/>
            </w:tcBorders>
          </w:tcPr>
          <w:p>
            <w:pPr>
              <w:spacing w:after="0"/>
              <w:rPr>
                <w:sz w:val="15"/>
                <w:szCs w:val="15"/>
                <w:color w:val="auto"/>
              </w:rPr>
            </w:pPr>
          </w:p>
        </w:tc>
        <w:tc>
          <w:tcPr>
            <w:tcW w:w="70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06/02/2026</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18"/>
                <w:szCs w:val="18"/>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680</w:t>
            </w:r>
          </w:p>
        </w:tc>
        <w:tc>
          <w:tcPr>
            <w:tcW w:w="460" w:type="dxa"/>
            <w:vAlign w:val="bottom"/>
            <w:vMerge w:val="restart"/>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395.4847</w:t>
            </w:r>
            <w:r>
              <w:rPr>
                <w:rFonts w:ascii="Times New Roman" w:cs="Times New Roman" w:eastAsia="Times New Roman" w:hAnsi="Times New Roman"/>
                <w:sz w:val="22"/>
                <w:szCs w:val="22"/>
                <w:color w:val="008000"/>
                <w:w w:val="95"/>
                <w:vertAlign w:val="superscript"/>
              </w:rPr>
              <w:t>(1)</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193,920</w:t>
            </w:r>
          </w:p>
        </w:tc>
        <w:tc>
          <w:tcPr>
            <w:tcW w:w="920" w:type="dxa"/>
            <w:vAlign w:val="bottom"/>
            <w:vMerge w:val="restart"/>
          </w:tcPr>
          <w:p>
            <w:pPr>
              <w:jc w:val="center"/>
              <w:ind w:right="3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Estate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Planning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Vehicles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06/02/2026</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18"/>
                <w:szCs w:val="18"/>
                <w:color w:val="auto"/>
              </w:rPr>
            </w:pPr>
          </w:p>
        </w:tc>
        <w:tc>
          <w:tcPr>
            <w:tcW w:w="840" w:type="dxa"/>
            <w:vAlign w:val="bottom"/>
            <w:vMerge w:val="restart"/>
          </w:tcPr>
          <w:p>
            <w:pPr>
              <w:jc w:val="center"/>
              <w:ind w:right="5"/>
              <w:spacing w:after="0"/>
              <w:rPr>
                <w:sz w:val="20"/>
                <w:szCs w:val="20"/>
                <w:color w:val="auto"/>
              </w:rPr>
            </w:pPr>
            <w:r>
              <w:rPr>
                <w:rFonts w:ascii="Times New Roman" w:cs="Times New Roman" w:eastAsia="Times New Roman" w:hAnsi="Times New Roman"/>
                <w:sz w:val="17"/>
                <w:szCs w:val="17"/>
                <w:color w:val="0000FF"/>
              </w:rPr>
              <w:t>4,225</w:t>
            </w:r>
          </w:p>
        </w:tc>
        <w:tc>
          <w:tcPr>
            <w:tcW w:w="460" w:type="dxa"/>
            <w:vAlign w:val="bottom"/>
            <w:vMerge w:val="restart"/>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397.253</w:t>
            </w:r>
            <w:r>
              <w:rPr>
                <w:rFonts w:ascii="Times New Roman" w:cs="Times New Roman" w:eastAsia="Times New Roman" w:hAnsi="Times New Roman"/>
                <w:sz w:val="22"/>
                <w:szCs w:val="22"/>
                <w:color w:val="008000"/>
                <w:w w:val="95"/>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189,695</w:t>
            </w:r>
          </w:p>
        </w:tc>
        <w:tc>
          <w:tcPr>
            <w:tcW w:w="920" w:type="dxa"/>
            <w:vAlign w:val="bottom"/>
            <w:vMerge w:val="restart"/>
          </w:tcPr>
          <w:p>
            <w:pPr>
              <w:jc w:val="center"/>
              <w:ind w:right="3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Estate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Planning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Vehicles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06/02/2026</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18"/>
                <w:szCs w:val="18"/>
                <w:color w:val="auto"/>
              </w:rPr>
            </w:pPr>
          </w:p>
        </w:tc>
        <w:tc>
          <w:tcPr>
            <w:tcW w:w="840" w:type="dxa"/>
            <w:vAlign w:val="bottom"/>
            <w:vMerge w:val="restart"/>
          </w:tcPr>
          <w:p>
            <w:pPr>
              <w:jc w:val="center"/>
              <w:ind w:right="5"/>
              <w:spacing w:after="0"/>
              <w:rPr>
                <w:sz w:val="20"/>
                <w:szCs w:val="20"/>
                <w:color w:val="auto"/>
              </w:rPr>
            </w:pPr>
            <w:r>
              <w:rPr>
                <w:rFonts w:ascii="Times New Roman" w:cs="Times New Roman" w:eastAsia="Times New Roman" w:hAnsi="Times New Roman"/>
                <w:sz w:val="17"/>
                <w:szCs w:val="17"/>
                <w:color w:val="0000FF"/>
              </w:rPr>
              <w:t>28,889</w:t>
            </w:r>
          </w:p>
        </w:tc>
        <w:tc>
          <w:tcPr>
            <w:tcW w:w="460" w:type="dxa"/>
            <w:vAlign w:val="bottom"/>
            <w:vMerge w:val="restart"/>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397.9913</w:t>
            </w:r>
            <w:r>
              <w:rPr>
                <w:rFonts w:ascii="Times New Roman" w:cs="Times New Roman" w:eastAsia="Times New Roman" w:hAnsi="Times New Roman"/>
                <w:sz w:val="22"/>
                <w:szCs w:val="22"/>
                <w:color w:val="008000"/>
                <w:w w:val="95"/>
                <w:vertAlign w:val="superscript"/>
              </w:rPr>
              <w:t>(3)</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160,806</w:t>
            </w:r>
          </w:p>
        </w:tc>
        <w:tc>
          <w:tcPr>
            <w:tcW w:w="920" w:type="dxa"/>
            <w:vAlign w:val="bottom"/>
            <w:vMerge w:val="restart"/>
          </w:tcPr>
          <w:p>
            <w:pPr>
              <w:jc w:val="center"/>
              <w:ind w:right="3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Estate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Planning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Vehicles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06/02/2026</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18"/>
                <w:szCs w:val="18"/>
                <w:color w:val="auto"/>
              </w:rPr>
            </w:pPr>
          </w:p>
        </w:tc>
        <w:tc>
          <w:tcPr>
            <w:tcW w:w="840" w:type="dxa"/>
            <w:vAlign w:val="bottom"/>
            <w:vMerge w:val="restart"/>
          </w:tcPr>
          <w:p>
            <w:pPr>
              <w:jc w:val="center"/>
              <w:ind w:right="5"/>
              <w:spacing w:after="0"/>
              <w:rPr>
                <w:sz w:val="20"/>
                <w:szCs w:val="20"/>
                <w:color w:val="auto"/>
              </w:rPr>
            </w:pPr>
            <w:r>
              <w:rPr>
                <w:rFonts w:ascii="Times New Roman" w:cs="Times New Roman" w:eastAsia="Times New Roman" w:hAnsi="Times New Roman"/>
                <w:sz w:val="17"/>
                <w:szCs w:val="17"/>
                <w:color w:val="0000FF"/>
              </w:rPr>
              <w:t>9,856</w:t>
            </w:r>
          </w:p>
        </w:tc>
        <w:tc>
          <w:tcPr>
            <w:tcW w:w="460" w:type="dxa"/>
            <w:vAlign w:val="bottom"/>
            <w:vMerge w:val="restart"/>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398.7399</w:t>
            </w:r>
            <w:r>
              <w:rPr>
                <w:rFonts w:ascii="Times New Roman" w:cs="Times New Roman" w:eastAsia="Times New Roman" w:hAnsi="Times New Roman"/>
                <w:sz w:val="22"/>
                <w:szCs w:val="22"/>
                <w:color w:val="008000"/>
                <w:w w:val="95"/>
                <w:vertAlign w:val="superscript"/>
              </w:rPr>
              <w:t>(4)</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150,950</w:t>
            </w:r>
          </w:p>
        </w:tc>
        <w:tc>
          <w:tcPr>
            <w:tcW w:w="920" w:type="dxa"/>
            <w:vAlign w:val="bottom"/>
            <w:vMerge w:val="restart"/>
          </w:tcPr>
          <w:p>
            <w:pPr>
              <w:jc w:val="center"/>
              <w:ind w:right="3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Estate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Planning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Vehicles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06/02/2026</w:t>
            </w: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Pr>
          <w:p>
            <w:pPr>
              <w:spacing w:after="0"/>
              <w:rPr>
                <w:sz w:val="18"/>
                <w:szCs w:val="18"/>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460" w:type="dxa"/>
            <w:vAlign w:val="bottom"/>
            <w:vMerge w:val="restart"/>
          </w:tcPr>
          <w:p>
            <w:pPr>
              <w:jc w:val="center"/>
              <w:ind w:right="51"/>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gridSpan w:val="3"/>
            <w:vMerge w:val="restart"/>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399.82</w:t>
            </w:r>
            <w:r>
              <w:rPr>
                <w:rFonts w:ascii="Times New Roman" w:cs="Times New Roman" w:eastAsia="Times New Roman" w:hAnsi="Times New Roman"/>
                <w:sz w:val="22"/>
                <w:szCs w:val="22"/>
                <w:color w:val="008000"/>
                <w:w w:val="95"/>
                <w:vertAlign w:val="superscript"/>
              </w:rPr>
              <w:t>(5)</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150,550</w:t>
            </w:r>
          </w:p>
        </w:tc>
        <w:tc>
          <w:tcPr>
            <w:tcW w:w="920" w:type="dxa"/>
            <w:vAlign w:val="bottom"/>
            <w:vMerge w:val="restart"/>
          </w:tcPr>
          <w:p>
            <w:pPr>
              <w:jc w:val="center"/>
              <w:ind w:right="3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Estate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9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Planning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Vehicles</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20" w:type="dxa"/>
            <w:vAlign w:val="bottom"/>
          </w:tcPr>
          <w:p>
            <w:pPr>
              <w:jc w:val="center"/>
              <w:ind w:right="337"/>
              <w:spacing w:after="0"/>
              <w:rPr>
                <w:sz w:val="20"/>
                <w:szCs w:val="20"/>
                <w:color w:val="auto"/>
              </w:rPr>
            </w:pPr>
            <w:r>
              <w:rPr>
                <w:rFonts w:ascii="Times New Roman" w:cs="Times New Roman" w:eastAsia="Times New Roman" w:hAnsi="Times New Roman"/>
                <w:sz w:val="17"/>
                <w:szCs w:val="17"/>
                <w:color w:val="0000FF"/>
                <w:w w:val="99"/>
              </w:rPr>
              <w:t>1,130</w:t>
            </w:r>
          </w:p>
        </w:tc>
        <w:tc>
          <w:tcPr>
            <w:tcW w:w="920" w:type="dxa"/>
            <w:vAlign w:val="bottom"/>
          </w:tcPr>
          <w:p>
            <w:pPr>
              <w:jc w:val="center"/>
              <w:ind w:right="3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340" w:type="dxa"/>
            <w:vAlign w:val="bottom"/>
            <w:tcBorders>
              <w:bottom w:val="single" w:sz="8" w:color="2C2C2C"/>
            </w:tcBorders>
            <w:gridSpan w:val="4"/>
          </w:tcPr>
          <w:p>
            <w:pPr>
              <w:spacing w:after="0"/>
              <w:rPr>
                <w:sz w:val="8"/>
                <w:szCs w:val="8"/>
                <w:color w:val="auto"/>
              </w:rPr>
            </w:pPr>
          </w:p>
        </w:tc>
        <w:tc>
          <w:tcPr>
            <w:tcW w:w="274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6. Date Exercisable and</w:t>
            </w:r>
          </w:p>
        </w:tc>
        <w:tc>
          <w:tcPr>
            <w:tcW w:w="1180" w:type="dxa"/>
            <w:vAlign w:val="bottom"/>
            <w:gridSpan w:val="3"/>
          </w:tcPr>
          <w:p>
            <w:pPr>
              <w:ind w:left="18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8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0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Expiration</w:t>
            </w: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Shares</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$395.20 to $396.04,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$396.50 to $397.495, inclusive. The Reporting Person undertakes to provide to the Company, any security holder of the Company or the staff of the Securities Exchange Commission, upon request, full information regarding the number of shares sold at each separate price within the</w:t>
      </w:r>
    </w:p>
    <w:p>
      <w:pPr>
        <w:sectPr>
          <w:pgSz w:w="11900" w:h="16923"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ranges set forth in this footnote.</w:t>
      </w:r>
    </w:p>
    <w:p>
      <w:pPr>
        <w:spacing w:after="0" w:line="50" w:lineRule="exact"/>
        <w:rPr>
          <w:sz w:val="20"/>
          <w:szCs w:val="20"/>
          <w:color w:val="auto"/>
        </w:rPr>
      </w:pPr>
    </w:p>
    <w:p>
      <w:pPr>
        <w:jc w:val="both"/>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$397.50 to $398.49,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$398.51 to $399.47,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 shares were sold in multiple transactions at prices ranging from $399.65 to $399.92, inclusive. The Reporting Person undertakes to provide to the Company, any security holder of the Company or the staff of the Securities Exchange Commission, upon request, full information regarding the number of shares sold at each separate price within the ranges set forth in this footnote.</w:t>
      </w:r>
    </w:p>
    <w:p>
      <w:pPr>
        <w:spacing w:after="0" w:line="37"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Jung Yeon Son, Attorney-</w:t>
            </w:r>
          </w:p>
        </w:tc>
        <w:tc>
          <w:tcPr>
            <w:tcW w:w="100" w:type="dxa"/>
            <w:vAlign w:val="bottom"/>
          </w:tcPr>
          <w:p>
            <w:pPr>
              <w:spacing w:after="0"/>
              <w:rPr>
                <w:sz w:val="17"/>
                <w:szCs w:val="17"/>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60"/>
      </w:cols>
      <w:pgMar w:left="500" w:top="127" w:right="7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2287" TargetMode="External"/><Relationship Id="rId14" Type="http://schemas.openxmlformats.org/officeDocument/2006/relationships/hyperlink" Target="http://www.sec.gov/cgi-bin/browse-edgar?action=getcompany&amp;CIK=000144181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2026-06-04T15:35:10Z</dcterms:created>
  <dcterms:modified xsi:type="dcterms:W3CDTF">2026-06-04T15:35:10Z</dcterms:modified>
</cp:coreProperties>
</file>