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30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00" w:lineRule="exact"/>
        <w:rPr>
          <w:sz w:val="24"/>
          <w:szCs w:val="24"/>
          <w:color w:val="auto"/>
        </w:rPr>
      </w:pPr>
    </w:p>
    <w:p>
      <w:pPr>
        <w:spacing w:after="0" w:line="32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1)*</w:t>
      </w:r>
    </w:p>
    <w:p>
      <w:pPr>
        <w:spacing w:after="0" w:line="302" w:lineRule="exact"/>
        <w:rPr>
          <w:sz w:val="24"/>
          <w:szCs w:val="24"/>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MongoDB, Inc.</w:t>
      </w:r>
    </w:p>
    <w:p>
      <w:pPr>
        <w:spacing w:after="0" w:line="54"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Class A Common Stock, $0.001 par value per share</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60937P106</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35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December 31, 2018</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323215</wp:posOffset>
            </wp:positionV>
            <wp:extent cx="24828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8285" cy="19685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540"/>
        <w:spacing w:after="0"/>
        <w:rPr>
          <w:sz w:val="20"/>
          <w:szCs w:val="20"/>
          <w:color w:val="auto"/>
        </w:rPr>
      </w:pPr>
      <w:r>
        <w:rPr>
          <w:rFonts w:ascii="Arial" w:cs="Arial" w:eastAsia="Arial" w:hAnsi="Arial"/>
          <w:sz w:val="18"/>
          <w:szCs w:val="18"/>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248285" cy="196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8285" cy="196850"/>
                    </a:xfrm>
                    <a:prstGeom prst="rect">
                      <a:avLst/>
                    </a:prstGeom>
                    <a:noFill/>
                  </pic:spPr>
                </pic:pic>
              </a:graphicData>
            </a:graphic>
          </wp:anchor>
        </w:drawing>
      </w:r>
    </w:p>
    <w:p>
      <w:pPr>
        <w:spacing w:after="0" w:line="381" w:lineRule="exact"/>
        <w:rPr>
          <w:sz w:val="24"/>
          <w:szCs w:val="24"/>
          <w:color w:val="auto"/>
        </w:rPr>
      </w:pPr>
    </w:p>
    <w:p>
      <w:pPr>
        <w:ind w:left="540"/>
        <w:spacing w:after="0"/>
        <w:rPr>
          <w:sz w:val="20"/>
          <w:szCs w:val="20"/>
          <w:color w:val="auto"/>
        </w:rPr>
      </w:pPr>
      <w:r>
        <w:rPr>
          <w:rFonts w:ascii="Arial" w:cs="Arial" w:eastAsia="Arial" w:hAnsi="Arial"/>
          <w:sz w:val="18"/>
          <w:szCs w:val="18"/>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248285"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8285" cy="205740"/>
                    </a:xfrm>
                    <a:prstGeom prst="rect">
                      <a:avLst/>
                    </a:prstGeom>
                    <a:noFill/>
                  </pic:spPr>
                </pic:pic>
              </a:graphicData>
            </a:graphic>
          </wp:anchor>
        </w:drawing>
      </w:r>
    </w:p>
    <w:p>
      <w:pPr>
        <w:spacing w:after="0" w:line="381" w:lineRule="exact"/>
        <w:rPr>
          <w:sz w:val="24"/>
          <w:szCs w:val="24"/>
          <w:color w:val="auto"/>
        </w:rPr>
      </w:pPr>
    </w:p>
    <w:p>
      <w:pPr>
        <w:ind w:left="540" w:hanging="320"/>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309" w:lineRule="exact"/>
        <w:rPr>
          <w:sz w:val="24"/>
          <w:szCs w:val="24"/>
          <w:color w:val="auto"/>
        </w:rPr>
      </w:pPr>
    </w:p>
    <w:p>
      <w:pPr>
        <w:spacing w:after="0" w:line="324"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5" w:lineRule="exact"/>
        <w:rPr>
          <w:sz w:val="24"/>
          <w:szCs w:val="24"/>
          <w:color w:val="auto"/>
        </w:rPr>
      </w:pPr>
    </w:p>
    <w:p>
      <w:pPr>
        <w:ind w:right="80"/>
        <w:spacing w:after="0" w:line="395"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60"/>
          </w:cols>
          <w:pgMar w:left="160" w:top="1405" w:right="279" w:bottom="1440" w:gutter="0" w:footer="0" w:header="0"/>
        </w:sectPr>
      </w:pPr>
    </w:p>
    <w:bookmarkStart w:id="1" w:name="page2"/>
    <w:bookmarkEnd w:id="1"/>
    <w:tbl>
      <w:tblPr>
        <w:tblLayout w:type="fixed"/>
        <w:tblInd w:w="80" w:type="dxa"/>
        <w:tblCellMar>
          <w:top w:w="0" w:type="dxa"/>
          <w:left w:w="0" w:type="dxa"/>
          <w:bottom w:w="0" w:type="dxa"/>
          <w:right w:w="0" w:type="dxa"/>
        </w:tblCellMar>
      </w:tblPr>
      <w:tr>
        <w:trPr>
          <w:trHeight w:val="333"/>
        </w:trPr>
        <w:tc>
          <w:tcPr>
            <w:tcW w:w="3800" w:type="dxa"/>
            <w:vAlign w:val="bottom"/>
            <w:vMerge w:val="restart"/>
          </w:tcPr>
          <w:p>
            <w:pPr>
              <w:spacing w:after="0"/>
              <w:rPr>
                <w:sz w:val="20"/>
                <w:szCs w:val="20"/>
                <w:color w:val="auto"/>
              </w:rPr>
            </w:pPr>
            <w:r>
              <w:rPr>
                <w:rFonts w:ascii="Arial" w:cs="Arial" w:eastAsia="Arial" w:hAnsi="Arial"/>
                <w:sz w:val="18"/>
                <w:szCs w:val="18"/>
                <w:color w:val="auto"/>
              </w:rPr>
              <w:t>CUSIP No. 60937P106</w:t>
            </w:r>
          </w:p>
        </w:tc>
        <w:tc>
          <w:tcPr>
            <w:tcW w:w="2620" w:type="dxa"/>
            <w:vAlign w:val="bottom"/>
          </w:tcPr>
          <w:p>
            <w:pPr>
              <w:ind w:left="2100"/>
              <w:spacing w:after="0"/>
              <w:rPr>
                <w:sz w:val="20"/>
                <w:szCs w:val="20"/>
                <w:color w:val="auto"/>
              </w:rPr>
            </w:pPr>
            <w:r>
              <w:rPr>
                <w:rFonts w:ascii="Arial" w:cs="Arial" w:eastAsia="Arial" w:hAnsi="Arial"/>
                <w:sz w:val="29"/>
                <w:szCs w:val="29"/>
                <w:b w:val="1"/>
                <w:bCs w:val="1"/>
                <w:color w:val="auto"/>
                <w:w w:val="91"/>
              </w:rPr>
              <w:t>13G</w:t>
            </w:r>
          </w:p>
        </w:tc>
        <w:tc>
          <w:tcPr>
            <w:tcW w:w="0" w:type="dxa"/>
            <w:vAlign w:val="bottom"/>
          </w:tcPr>
          <w:p>
            <w:pPr>
              <w:spacing w:after="0"/>
              <w:rPr>
                <w:sz w:val="1"/>
                <w:szCs w:val="1"/>
                <w:color w:val="auto"/>
              </w:rPr>
            </w:pPr>
          </w:p>
        </w:tc>
      </w:tr>
      <w:tr>
        <w:trPr>
          <w:trHeight w:val="54"/>
        </w:trPr>
        <w:tc>
          <w:tcPr>
            <w:tcW w:w="3800" w:type="dxa"/>
            <w:vAlign w:val="bottom"/>
            <w:vMerge w:val="continue"/>
          </w:tcPr>
          <w:p>
            <w:pPr>
              <w:spacing w:after="0"/>
              <w:rPr>
                <w:sz w:val="4"/>
                <w:szCs w:val="4"/>
                <w:color w:val="auto"/>
              </w:rPr>
            </w:pPr>
          </w:p>
        </w:tc>
        <w:tc>
          <w:tcPr>
            <w:tcW w:w="2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40" w:type="dxa"/>
            <w:vAlign w:val="bottom"/>
            <w:tcBorders>
              <w:top w:val="single" w:sz="8" w:color="auto"/>
              <w:left w:val="single" w:sz="8" w:color="auto"/>
            </w:tcBorders>
          </w:tcPr>
          <w:p>
            <w:pPr>
              <w:jc w:val="center"/>
              <w:ind w:left="250"/>
              <w:spacing w:after="0"/>
              <w:rPr>
                <w:sz w:val="20"/>
                <w:szCs w:val="20"/>
                <w:color w:val="auto"/>
              </w:rPr>
            </w:pPr>
            <w:r>
              <w:rPr>
                <w:rFonts w:ascii="Arial" w:cs="Arial" w:eastAsia="Arial" w:hAnsi="Arial"/>
                <w:sz w:val="18"/>
                <w:szCs w:val="18"/>
                <w:color w:val="auto"/>
                <w:w w:val="79"/>
              </w:rPr>
              <w:t>1</w:t>
            </w:r>
          </w:p>
        </w:tc>
        <w:tc>
          <w:tcPr>
            <w:tcW w:w="300" w:type="dxa"/>
            <w:vAlign w:val="bottom"/>
            <w:tcBorders>
              <w:top w:val="single" w:sz="8" w:color="auto"/>
              <w:right w:val="single" w:sz="8" w:color="auto"/>
            </w:tcBorders>
          </w:tcPr>
          <w:p>
            <w:pPr>
              <w:spacing w:after="0"/>
              <w:rPr>
                <w:sz w:val="23"/>
                <w:szCs w:val="23"/>
                <w:color w:val="auto"/>
              </w:rPr>
            </w:pPr>
          </w:p>
        </w:tc>
        <w:tc>
          <w:tcPr>
            <w:tcW w:w="10680" w:type="dxa"/>
            <w:vAlign w:val="bottom"/>
            <w:tcBorders>
              <w:top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r>
      <w:tr>
        <w:trPr>
          <w:trHeight w:val="230"/>
        </w:trPr>
        <w:tc>
          <w:tcPr>
            <w:tcW w:w="54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I.R.S. IDENTIFICATION NO. OF ABOVE PERSONS (ENTITIES ONLY)</w:t>
            </w:r>
          </w:p>
        </w:tc>
      </w:tr>
      <w:tr>
        <w:trPr>
          <w:trHeight w:val="432"/>
        </w:trPr>
        <w:tc>
          <w:tcPr>
            <w:tcW w:w="54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200" w:type="dxa"/>
            <w:vAlign w:val="bottom"/>
          </w:tcPr>
          <w:p>
            <w:pPr>
              <w:ind w:left="60"/>
              <w:spacing w:after="0"/>
              <w:rPr>
                <w:sz w:val="20"/>
                <w:szCs w:val="20"/>
                <w:color w:val="auto"/>
              </w:rPr>
            </w:pPr>
            <w:r>
              <w:rPr>
                <w:rFonts w:ascii="Arial" w:cs="Arial" w:eastAsia="Arial" w:hAnsi="Arial"/>
                <w:sz w:val="18"/>
                <w:szCs w:val="18"/>
                <w:b w:val="1"/>
                <w:bCs w:val="1"/>
                <w:color w:val="auto"/>
                <w:w w:val="93"/>
              </w:rPr>
              <w:t>Eliot Horowitz</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740" w:type="dxa"/>
            <w:vAlign w:val="bottom"/>
            <w:tcBorders>
              <w:right w:val="single" w:sz="8" w:color="auto"/>
            </w:tcBorders>
          </w:tcPr>
          <w:p>
            <w:pPr>
              <w:spacing w:after="0"/>
              <w:rPr>
                <w:sz w:val="24"/>
                <w:szCs w:val="24"/>
                <w:color w:val="auto"/>
              </w:rPr>
            </w:pPr>
          </w:p>
        </w:tc>
      </w:tr>
      <w:tr>
        <w:trPr>
          <w:trHeight w:val="54"/>
        </w:trPr>
        <w:tc>
          <w:tcPr>
            <w:tcW w:w="54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0680" w:type="dxa"/>
            <w:vAlign w:val="bottom"/>
            <w:tcBorders>
              <w:bottom w:val="single" w:sz="8" w:color="auto"/>
              <w:right w:val="single" w:sz="8" w:color="auto"/>
            </w:tcBorders>
            <w:gridSpan w:val="4"/>
          </w:tcPr>
          <w:p>
            <w:pPr>
              <w:spacing w:after="0"/>
              <w:rPr>
                <w:sz w:val="4"/>
                <w:szCs w:val="4"/>
                <w:color w:val="auto"/>
              </w:rPr>
            </w:pPr>
          </w:p>
        </w:tc>
      </w:tr>
      <w:tr>
        <w:trPr>
          <w:trHeight w:val="245"/>
        </w:trPr>
        <w:tc>
          <w:tcPr>
            <w:tcW w:w="5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79"/>
              </w:rPr>
              <w:t>2</w:t>
            </w:r>
          </w:p>
        </w:tc>
        <w:tc>
          <w:tcPr>
            <w:tcW w:w="300" w:type="dxa"/>
            <w:vAlign w:val="bottom"/>
            <w:tcBorders>
              <w:right w:val="single" w:sz="8" w:color="auto"/>
            </w:tcBorders>
          </w:tcPr>
          <w:p>
            <w:pPr>
              <w:spacing w:after="0"/>
              <w:rPr>
                <w:sz w:val="21"/>
                <w:szCs w:val="21"/>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THE APPROPRIATE BOX IF A MEMBER OF A GROUP*</w:t>
            </w:r>
          </w:p>
        </w:tc>
      </w:tr>
      <w:tr>
        <w:trPr>
          <w:trHeight w:val="234"/>
        </w:trPr>
        <w:tc>
          <w:tcPr>
            <w:tcW w:w="54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200" w:type="dxa"/>
            <w:vAlign w:val="bottom"/>
          </w:tcPr>
          <w:p>
            <w:pPr>
              <w:ind w:left="200"/>
              <w:spacing w:after="0"/>
              <w:rPr>
                <w:sz w:val="20"/>
                <w:szCs w:val="20"/>
                <w:color w:val="auto"/>
              </w:rPr>
            </w:pPr>
            <w:r>
              <w:rPr>
                <w:rFonts w:ascii="Arial" w:cs="Arial" w:eastAsia="Arial" w:hAnsi="Arial"/>
                <w:sz w:val="18"/>
                <w:szCs w:val="18"/>
                <w:b w:val="1"/>
                <w:bCs w:val="1"/>
                <w:color w:val="auto"/>
              </w:rPr>
              <w:t>(a)  [ ]  (b)</w:t>
            </w:r>
          </w:p>
        </w:tc>
        <w:tc>
          <w:tcPr>
            <w:tcW w:w="7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w w:val="82"/>
              </w:rPr>
              <w:t>[ ]</w:t>
            </w:r>
          </w:p>
        </w:tc>
        <w:tc>
          <w:tcPr>
            <w:tcW w:w="8740" w:type="dxa"/>
            <w:vAlign w:val="bottom"/>
            <w:tcBorders>
              <w:right w:val="single" w:sz="8" w:color="auto"/>
            </w:tcBorders>
          </w:tcPr>
          <w:p>
            <w:pPr>
              <w:spacing w:after="0"/>
              <w:rPr>
                <w:sz w:val="20"/>
                <w:szCs w:val="20"/>
                <w:color w:val="auto"/>
              </w:rPr>
            </w:pPr>
          </w:p>
        </w:tc>
      </w:tr>
      <w:tr>
        <w:trPr>
          <w:trHeight w:val="270"/>
        </w:trPr>
        <w:tc>
          <w:tcPr>
            <w:tcW w:w="540" w:type="dxa"/>
            <w:vAlign w:val="bottom"/>
            <w:tcBorders>
              <w:left w:val="single" w:sz="8" w:color="auto"/>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940" w:type="dxa"/>
            <w:vAlign w:val="bottom"/>
            <w:tcBorders>
              <w:bottom w:val="single" w:sz="8" w:color="auto"/>
            </w:tcBorders>
            <w:gridSpan w:val="3"/>
          </w:tcPr>
          <w:p>
            <w:pPr>
              <w:spacing w:after="0"/>
              <w:rPr>
                <w:sz w:val="23"/>
                <w:szCs w:val="23"/>
                <w:color w:val="auto"/>
              </w:rPr>
            </w:pPr>
          </w:p>
        </w:tc>
        <w:tc>
          <w:tcPr>
            <w:tcW w:w="8740" w:type="dxa"/>
            <w:vAlign w:val="bottom"/>
            <w:tcBorders>
              <w:bottom w:val="single" w:sz="8" w:color="auto"/>
              <w:right w:val="single" w:sz="8" w:color="auto"/>
            </w:tcBorders>
          </w:tcPr>
          <w:p>
            <w:pPr>
              <w:spacing w:after="0"/>
              <w:rPr>
                <w:sz w:val="23"/>
                <w:szCs w:val="23"/>
                <w:color w:val="auto"/>
              </w:rPr>
            </w:pPr>
          </w:p>
        </w:tc>
      </w:tr>
      <w:tr>
        <w:trPr>
          <w:trHeight w:val="263"/>
        </w:trPr>
        <w:tc>
          <w:tcPr>
            <w:tcW w:w="5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79"/>
              </w:rPr>
              <w:t>3</w:t>
            </w:r>
          </w:p>
        </w:tc>
        <w:tc>
          <w:tcPr>
            <w:tcW w:w="300" w:type="dxa"/>
            <w:vAlign w:val="bottom"/>
            <w:tcBorders>
              <w:right w:val="single" w:sz="8" w:color="auto"/>
            </w:tcBorders>
          </w:tcPr>
          <w:p>
            <w:pPr>
              <w:spacing w:after="0"/>
              <w:rPr>
                <w:sz w:val="22"/>
                <w:szCs w:val="22"/>
                <w:color w:val="auto"/>
              </w:rPr>
            </w:pPr>
          </w:p>
        </w:tc>
        <w:tc>
          <w:tcPr>
            <w:tcW w:w="194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8740" w:type="dxa"/>
            <w:vAlign w:val="bottom"/>
            <w:tcBorders>
              <w:right w:val="single" w:sz="8" w:color="auto"/>
            </w:tcBorders>
          </w:tcPr>
          <w:p>
            <w:pPr>
              <w:spacing w:after="0"/>
              <w:rPr>
                <w:sz w:val="22"/>
                <w:szCs w:val="22"/>
                <w:color w:val="auto"/>
              </w:rPr>
            </w:pPr>
          </w:p>
        </w:tc>
      </w:tr>
      <w:tr>
        <w:trPr>
          <w:trHeight w:val="486"/>
        </w:trPr>
        <w:tc>
          <w:tcPr>
            <w:tcW w:w="54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680" w:type="dxa"/>
            <w:vAlign w:val="bottom"/>
            <w:tcBorders>
              <w:bottom w:val="single" w:sz="8" w:color="auto"/>
              <w:right w:val="single" w:sz="8" w:color="auto"/>
            </w:tcBorders>
            <w:gridSpan w:val="4"/>
          </w:tcPr>
          <w:p>
            <w:pPr>
              <w:spacing w:after="0"/>
              <w:rPr>
                <w:sz w:val="24"/>
                <w:szCs w:val="24"/>
                <w:color w:val="auto"/>
              </w:rPr>
            </w:pPr>
          </w:p>
        </w:tc>
      </w:tr>
      <w:tr>
        <w:trPr>
          <w:trHeight w:val="245"/>
        </w:trPr>
        <w:tc>
          <w:tcPr>
            <w:tcW w:w="5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79"/>
              </w:rPr>
              <w:t>4</w:t>
            </w:r>
          </w:p>
        </w:tc>
        <w:tc>
          <w:tcPr>
            <w:tcW w:w="300" w:type="dxa"/>
            <w:vAlign w:val="bottom"/>
            <w:tcBorders>
              <w:right w:val="single" w:sz="8" w:color="auto"/>
            </w:tcBorders>
          </w:tcPr>
          <w:p>
            <w:pPr>
              <w:spacing w:after="0"/>
              <w:rPr>
                <w:sz w:val="21"/>
                <w:szCs w:val="21"/>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CITIZENSHIP OR PLACE OF ORGANIZATION</w:t>
            </w:r>
          </w:p>
        </w:tc>
      </w:tr>
      <w:tr>
        <w:trPr>
          <w:trHeight w:val="234"/>
        </w:trPr>
        <w:tc>
          <w:tcPr>
            <w:tcW w:w="54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200" w:type="dxa"/>
            <w:vAlign w:val="bottom"/>
          </w:tcPr>
          <w:p>
            <w:pPr>
              <w:ind w:left="60"/>
              <w:spacing w:after="0"/>
              <w:rPr>
                <w:sz w:val="20"/>
                <w:szCs w:val="20"/>
                <w:color w:val="auto"/>
              </w:rPr>
            </w:pPr>
            <w:r>
              <w:rPr>
                <w:rFonts w:ascii="Arial" w:cs="Arial" w:eastAsia="Arial" w:hAnsi="Arial"/>
                <w:sz w:val="18"/>
                <w:szCs w:val="18"/>
                <w:b w:val="1"/>
                <w:bCs w:val="1"/>
                <w:color w:val="auto"/>
                <w:w w:val="97"/>
              </w:rPr>
              <w:t>United States</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740" w:type="dxa"/>
            <w:vAlign w:val="bottom"/>
            <w:tcBorders>
              <w:right w:val="single" w:sz="8" w:color="auto"/>
            </w:tcBorders>
          </w:tcPr>
          <w:p>
            <w:pPr>
              <w:spacing w:after="0"/>
              <w:rPr>
                <w:sz w:val="20"/>
                <w:szCs w:val="20"/>
                <w:color w:val="auto"/>
              </w:rPr>
            </w:pPr>
          </w:p>
        </w:tc>
      </w:tr>
      <w:tr>
        <w:trPr>
          <w:trHeight w:val="270"/>
        </w:trPr>
        <w:tc>
          <w:tcPr>
            <w:tcW w:w="540" w:type="dxa"/>
            <w:vAlign w:val="bottom"/>
            <w:tcBorders>
              <w:left w:val="single" w:sz="8" w:color="auto"/>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740" w:type="dxa"/>
            <w:vAlign w:val="bottom"/>
            <w:tcBorders>
              <w:bottom w:val="single" w:sz="8" w:color="auto"/>
              <w:right w:val="single" w:sz="8" w:color="auto"/>
            </w:tcBorders>
          </w:tcPr>
          <w:p>
            <w:pPr>
              <w:spacing w:after="0"/>
              <w:rPr>
                <w:sz w:val="23"/>
                <w:szCs w:val="23"/>
                <w:color w:val="auto"/>
              </w:rPr>
            </w:pPr>
          </w:p>
        </w:tc>
      </w:tr>
      <w:tr>
        <w:trPr>
          <w:trHeight w:val="264"/>
        </w:trPr>
        <w:tc>
          <w:tcPr>
            <w:tcW w:w="54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w:t>
            </w:r>
          </w:p>
        </w:tc>
        <w:tc>
          <w:tcPr>
            <w:tcW w:w="8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r>
      <w:tr>
        <w:trPr>
          <w:trHeight w:val="432"/>
        </w:trPr>
        <w:tc>
          <w:tcPr>
            <w:tcW w:w="2040" w:type="dxa"/>
            <w:vAlign w:val="bottom"/>
            <w:tcBorders>
              <w:left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rPr>
              <w:t>NUMBER OF</w:t>
            </w:r>
          </w:p>
        </w:tc>
        <w:tc>
          <w:tcPr>
            <w:tcW w:w="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74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1,993,551 (See Item 4 herein)</w:t>
            </w:r>
          </w:p>
        </w:tc>
      </w:tr>
      <w:tr>
        <w:trPr>
          <w:trHeight w:val="54"/>
        </w:trPr>
        <w:tc>
          <w:tcPr>
            <w:tcW w:w="540" w:type="dxa"/>
            <w:vAlign w:val="bottom"/>
            <w:tcBorders>
              <w:left w:val="single" w:sz="8" w:color="auto"/>
            </w:tcBorders>
          </w:tcPr>
          <w:p>
            <w:pPr>
              <w:spacing w:after="0"/>
              <w:rPr>
                <w:sz w:val="4"/>
                <w:szCs w:val="4"/>
                <w:color w:val="auto"/>
              </w:rPr>
            </w:pPr>
          </w:p>
        </w:tc>
        <w:tc>
          <w:tcPr>
            <w:tcW w:w="1500" w:type="dxa"/>
            <w:vAlign w:val="bottom"/>
            <w:gridSpan w:val="2"/>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r>
        <w:trPr>
          <w:trHeight w:val="232"/>
        </w:trPr>
        <w:tc>
          <w:tcPr>
            <w:tcW w:w="540" w:type="dxa"/>
            <w:vAlign w:val="bottom"/>
            <w:tcBorders>
              <w:left w:val="single" w:sz="8" w:color="auto"/>
            </w:tcBorders>
          </w:tcPr>
          <w:p>
            <w:pPr>
              <w:spacing w:after="0"/>
              <w:rPr>
                <w:sz w:val="20"/>
                <w:szCs w:val="20"/>
                <w:color w:val="auto"/>
              </w:rPr>
            </w:pPr>
          </w:p>
        </w:tc>
        <w:tc>
          <w:tcPr>
            <w:tcW w:w="150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5"/>
              </w:rPr>
              <w:t>SHARES</w:t>
            </w:r>
          </w:p>
        </w:tc>
        <w:tc>
          <w:tcPr>
            <w:tcW w:w="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8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r>
      <w:tr>
        <w:trPr>
          <w:trHeight w:val="216"/>
        </w:trPr>
        <w:tc>
          <w:tcPr>
            <w:tcW w:w="2040" w:type="dxa"/>
            <w:vAlign w:val="bottom"/>
            <w:tcBorders>
              <w:left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rPr>
              <w:t>BENEFICIALLY</w:t>
            </w:r>
          </w:p>
        </w:tc>
        <w:tc>
          <w:tcPr>
            <w:tcW w:w="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tcPr>
          <w:p>
            <w:pPr>
              <w:spacing w:after="0"/>
              <w:rPr>
                <w:sz w:val="18"/>
                <w:szCs w:val="18"/>
                <w:color w:val="auto"/>
              </w:rPr>
            </w:pPr>
          </w:p>
        </w:tc>
      </w:tr>
      <w:tr>
        <w:trPr>
          <w:trHeight w:val="248"/>
        </w:trPr>
        <w:tc>
          <w:tcPr>
            <w:tcW w:w="540" w:type="dxa"/>
            <w:vAlign w:val="bottom"/>
            <w:tcBorders>
              <w:left w:val="single" w:sz="8" w:color="auto"/>
            </w:tcBorders>
          </w:tcPr>
          <w:p>
            <w:pPr>
              <w:spacing w:after="0"/>
              <w:rPr>
                <w:sz w:val="21"/>
                <w:szCs w:val="21"/>
                <w:color w:val="auto"/>
              </w:rPr>
            </w:pPr>
          </w:p>
        </w:tc>
        <w:tc>
          <w:tcPr>
            <w:tcW w:w="150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rPr>
              <w:t>OWNED BY</w:t>
            </w:r>
          </w:p>
        </w:tc>
        <w:tc>
          <w:tcPr>
            <w:tcW w:w="6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874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375,000 (See Item 4 herein)</w:t>
            </w:r>
          </w:p>
        </w:tc>
      </w:tr>
      <w:tr>
        <w:trPr>
          <w:trHeight w:val="54"/>
        </w:trPr>
        <w:tc>
          <w:tcPr>
            <w:tcW w:w="540" w:type="dxa"/>
            <w:vAlign w:val="bottom"/>
            <w:tcBorders>
              <w:lef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r>
        <w:trPr>
          <w:trHeight w:val="232"/>
        </w:trPr>
        <w:tc>
          <w:tcPr>
            <w:tcW w:w="54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center"/>
              <w:ind w:right="610"/>
              <w:spacing w:after="0"/>
              <w:rPr>
                <w:sz w:val="20"/>
                <w:szCs w:val="20"/>
                <w:color w:val="auto"/>
              </w:rPr>
            </w:pPr>
            <w:r>
              <w:rPr>
                <w:rFonts w:ascii="Arial" w:cs="Arial" w:eastAsia="Arial" w:hAnsi="Arial"/>
                <w:sz w:val="18"/>
                <w:szCs w:val="18"/>
                <w:b w:val="1"/>
                <w:bCs w:val="1"/>
                <w:color w:val="auto"/>
                <w:w w:val="97"/>
              </w:rPr>
              <w:t>EACH</w:t>
            </w:r>
          </w:p>
        </w:tc>
        <w:tc>
          <w:tcPr>
            <w:tcW w:w="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7</w:t>
            </w:r>
          </w:p>
        </w:tc>
        <w:tc>
          <w:tcPr>
            <w:tcW w:w="8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DISPOSITIVE POWER</w:t>
            </w:r>
          </w:p>
        </w:tc>
      </w:tr>
      <w:tr>
        <w:trPr>
          <w:trHeight w:val="216"/>
        </w:trPr>
        <w:tc>
          <w:tcPr>
            <w:tcW w:w="540" w:type="dxa"/>
            <w:vAlign w:val="bottom"/>
            <w:tcBorders>
              <w:left w:val="single" w:sz="8" w:color="auto"/>
            </w:tcBorders>
          </w:tcPr>
          <w:p>
            <w:pPr>
              <w:spacing w:after="0"/>
              <w:rPr>
                <w:sz w:val="18"/>
                <w:szCs w:val="18"/>
                <w:color w:val="auto"/>
              </w:rPr>
            </w:pPr>
          </w:p>
        </w:tc>
        <w:tc>
          <w:tcPr>
            <w:tcW w:w="150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rPr>
              <w:t>REPORTING</w:t>
            </w:r>
          </w:p>
        </w:tc>
        <w:tc>
          <w:tcPr>
            <w:tcW w:w="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tcPr>
          <w:p>
            <w:pPr>
              <w:spacing w:after="0"/>
              <w:rPr>
                <w:sz w:val="18"/>
                <w:szCs w:val="18"/>
                <w:color w:val="auto"/>
              </w:rPr>
            </w:pPr>
          </w:p>
        </w:tc>
      </w:tr>
      <w:tr>
        <w:trPr>
          <w:trHeight w:val="248"/>
        </w:trPr>
        <w:tc>
          <w:tcPr>
            <w:tcW w:w="540" w:type="dxa"/>
            <w:vAlign w:val="bottom"/>
            <w:tcBorders>
              <w:left w:val="single" w:sz="8" w:color="auto"/>
            </w:tcBorders>
          </w:tcPr>
          <w:p>
            <w:pPr>
              <w:spacing w:after="0"/>
              <w:rPr>
                <w:sz w:val="21"/>
                <w:szCs w:val="21"/>
                <w:color w:val="auto"/>
              </w:rPr>
            </w:pPr>
          </w:p>
        </w:tc>
        <w:tc>
          <w:tcPr>
            <w:tcW w:w="150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4"/>
              </w:rPr>
              <w:t>PERSON</w:t>
            </w:r>
          </w:p>
        </w:tc>
        <w:tc>
          <w:tcPr>
            <w:tcW w:w="6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tcPr>
          <w:p>
            <w:pPr>
              <w:spacing w:after="0"/>
              <w:rPr>
                <w:sz w:val="21"/>
                <w:szCs w:val="21"/>
                <w:color w:val="auto"/>
              </w:rPr>
            </w:pPr>
          </w:p>
        </w:tc>
        <w:tc>
          <w:tcPr>
            <w:tcW w:w="874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1,993,551 (See Item 4 herein)</w:t>
            </w:r>
          </w:p>
        </w:tc>
      </w:tr>
      <w:tr>
        <w:trPr>
          <w:trHeight w:val="54"/>
        </w:trPr>
        <w:tc>
          <w:tcPr>
            <w:tcW w:w="540" w:type="dxa"/>
            <w:vAlign w:val="bottom"/>
            <w:tcBorders>
              <w:lef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r>
        <w:trPr>
          <w:trHeight w:val="264"/>
        </w:trPr>
        <w:tc>
          <w:tcPr>
            <w:tcW w:w="54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center"/>
              <w:ind w:right="610"/>
              <w:spacing w:after="0"/>
              <w:rPr>
                <w:sz w:val="20"/>
                <w:szCs w:val="20"/>
                <w:color w:val="auto"/>
              </w:rPr>
            </w:pPr>
            <w:r>
              <w:rPr>
                <w:rFonts w:ascii="Arial" w:cs="Arial" w:eastAsia="Arial" w:hAnsi="Arial"/>
                <w:sz w:val="18"/>
                <w:szCs w:val="18"/>
                <w:b w:val="1"/>
                <w:bCs w:val="1"/>
                <w:color w:val="auto"/>
              </w:rPr>
              <w:t>WITH</w:t>
            </w:r>
          </w:p>
        </w:tc>
        <w:tc>
          <w:tcPr>
            <w:tcW w:w="6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8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r>
      <w:tr>
        <w:trPr>
          <w:trHeight w:val="432"/>
        </w:trPr>
        <w:tc>
          <w:tcPr>
            <w:tcW w:w="5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74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375,000 (See Item 4 herein)</w:t>
            </w:r>
          </w:p>
        </w:tc>
      </w:tr>
      <w:tr>
        <w:trPr>
          <w:trHeight w:val="54"/>
        </w:trPr>
        <w:tc>
          <w:tcPr>
            <w:tcW w:w="54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gridSpan w:val="2"/>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r>
        <w:trPr>
          <w:trHeight w:val="264"/>
        </w:trPr>
        <w:tc>
          <w:tcPr>
            <w:tcW w:w="5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79"/>
              </w:rPr>
              <w:t>9</w:t>
            </w:r>
          </w:p>
        </w:tc>
        <w:tc>
          <w:tcPr>
            <w:tcW w:w="300" w:type="dxa"/>
            <w:vAlign w:val="bottom"/>
            <w:tcBorders>
              <w:right w:val="single" w:sz="8" w:color="auto"/>
            </w:tcBorders>
          </w:tcPr>
          <w:p>
            <w:pPr>
              <w:spacing w:after="0"/>
              <w:rPr>
                <w:sz w:val="22"/>
                <w:szCs w:val="22"/>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r>
      <w:tr>
        <w:trPr>
          <w:trHeight w:val="432"/>
        </w:trPr>
        <w:tc>
          <w:tcPr>
            <w:tcW w:w="54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2,368,551 (See Item 4 herein)</w:t>
            </w:r>
          </w:p>
        </w:tc>
      </w:tr>
      <w:tr>
        <w:trPr>
          <w:trHeight w:val="54"/>
        </w:trPr>
        <w:tc>
          <w:tcPr>
            <w:tcW w:w="54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r>
        <w:trPr>
          <w:trHeight w:val="249"/>
        </w:trPr>
        <w:tc>
          <w:tcPr>
            <w:tcW w:w="540" w:type="dxa"/>
            <w:vAlign w:val="bottom"/>
            <w:tcBorders>
              <w:left w:val="single" w:sz="8" w:color="auto"/>
            </w:tcBorders>
          </w:tcPr>
          <w:p>
            <w:pPr>
              <w:jc w:val="center"/>
              <w:ind w:left="270"/>
              <w:spacing w:after="0"/>
              <w:rPr>
                <w:sz w:val="20"/>
                <w:szCs w:val="20"/>
                <w:color w:val="auto"/>
              </w:rPr>
            </w:pPr>
            <w:r>
              <w:rPr>
                <w:rFonts w:ascii="Arial" w:cs="Arial" w:eastAsia="Arial" w:hAnsi="Arial"/>
                <w:sz w:val="18"/>
                <w:szCs w:val="18"/>
                <w:color w:val="auto"/>
                <w:w w:val="89"/>
              </w:rPr>
              <w:t>10</w:t>
            </w:r>
          </w:p>
        </w:tc>
        <w:tc>
          <w:tcPr>
            <w:tcW w:w="300" w:type="dxa"/>
            <w:vAlign w:val="bottom"/>
            <w:tcBorders>
              <w:right w:val="single" w:sz="8" w:color="auto"/>
            </w:tcBorders>
          </w:tcPr>
          <w:p>
            <w:pPr>
              <w:spacing w:after="0"/>
              <w:rPr>
                <w:sz w:val="21"/>
                <w:szCs w:val="21"/>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r>
      <w:tr>
        <w:trPr>
          <w:trHeight w:val="230"/>
        </w:trPr>
        <w:tc>
          <w:tcPr>
            <w:tcW w:w="54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200" w:type="dxa"/>
            <w:vAlign w:val="bottom"/>
          </w:tcPr>
          <w:p>
            <w:pPr>
              <w:ind w:left="20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740" w:type="dxa"/>
            <w:vAlign w:val="bottom"/>
            <w:tcBorders>
              <w:right w:val="single" w:sz="8" w:color="auto"/>
            </w:tcBorders>
          </w:tcPr>
          <w:p>
            <w:pPr>
              <w:spacing w:after="0"/>
              <w:rPr>
                <w:sz w:val="20"/>
                <w:szCs w:val="20"/>
                <w:color w:val="auto"/>
              </w:rPr>
            </w:pPr>
          </w:p>
        </w:tc>
      </w:tr>
      <w:tr>
        <w:trPr>
          <w:trHeight w:val="270"/>
        </w:trPr>
        <w:tc>
          <w:tcPr>
            <w:tcW w:w="540" w:type="dxa"/>
            <w:vAlign w:val="bottom"/>
            <w:tcBorders>
              <w:left w:val="single" w:sz="8" w:color="auto"/>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tcBorders>
            <w:gridSpan w:val="2"/>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740" w:type="dxa"/>
            <w:vAlign w:val="bottom"/>
            <w:tcBorders>
              <w:bottom w:val="single" w:sz="8" w:color="auto"/>
              <w:right w:val="single" w:sz="8" w:color="auto"/>
            </w:tcBorders>
          </w:tcPr>
          <w:p>
            <w:pPr>
              <w:spacing w:after="0"/>
              <w:rPr>
                <w:sz w:val="23"/>
                <w:szCs w:val="23"/>
                <w:color w:val="auto"/>
              </w:rPr>
            </w:pPr>
          </w:p>
        </w:tc>
      </w:tr>
      <w:tr>
        <w:trPr>
          <w:trHeight w:val="264"/>
        </w:trPr>
        <w:tc>
          <w:tcPr>
            <w:tcW w:w="54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79"/>
              </w:rPr>
              <w:t>11</w:t>
            </w:r>
          </w:p>
        </w:tc>
        <w:tc>
          <w:tcPr>
            <w:tcW w:w="300" w:type="dxa"/>
            <w:vAlign w:val="bottom"/>
            <w:tcBorders>
              <w:right w:val="single" w:sz="8" w:color="auto"/>
            </w:tcBorders>
          </w:tcPr>
          <w:p>
            <w:pPr>
              <w:spacing w:after="0"/>
              <w:rPr>
                <w:sz w:val="22"/>
                <w:szCs w:val="22"/>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r>
      <w:tr>
        <w:trPr>
          <w:trHeight w:val="432"/>
        </w:trPr>
        <w:tc>
          <w:tcPr>
            <w:tcW w:w="54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4.3% of Common Stock (6.2% of Class A Common Stock) (See Item 4 herein)</w:t>
            </w:r>
          </w:p>
        </w:tc>
      </w:tr>
      <w:tr>
        <w:trPr>
          <w:trHeight w:val="54"/>
        </w:trPr>
        <w:tc>
          <w:tcPr>
            <w:tcW w:w="54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r>
        <w:trPr>
          <w:trHeight w:val="264"/>
        </w:trPr>
        <w:tc>
          <w:tcPr>
            <w:tcW w:w="540" w:type="dxa"/>
            <w:vAlign w:val="bottom"/>
            <w:tcBorders>
              <w:left w:val="single" w:sz="8" w:color="auto"/>
            </w:tcBorders>
          </w:tcPr>
          <w:p>
            <w:pPr>
              <w:jc w:val="center"/>
              <w:ind w:left="270"/>
              <w:spacing w:after="0"/>
              <w:rPr>
                <w:sz w:val="20"/>
                <w:szCs w:val="20"/>
                <w:color w:val="auto"/>
              </w:rPr>
            </w:pPr>
            <w:r>
              <w:rPr>
                <w:rFonts w:ascii="Arial" w:cs="Arial" w:eastAsia="Arial" w:hAnsi="Arial"/>
                <w:sz w:val="18"/>
                <w:szCs w:val="18"/>
                <w:color w:val="auto"/>
                <w:w w:val="89"/>
              </w:rPr>
              <w:t>12</w:t>
            </w:r>
          </w:p>
        </w:tc>
        <w:tc>
          <w:tcPr>
            <w:tcW w:w="300" w:type="dxa"/>
            <w:vAlign w:val="bottom"/>
            <w:tcBorders>
              <w:right w:val="single" w:sz="8" w:color="auto"/>
            </w:tcBorders>
          </w:tcPr>
          <w:p>
            <w:pPr>
              <w:spacing w:after="0"/>
              <w:rPr>
                <w:sz w:val="22"/>
                <w:szCs w:val="22"/>
                <w:color w:val="auto"/>
              </w:rPr>
            </w:pPr>
          </w:p>
        </w:tc>
        <w:tc>
          <w:tcPr>
            <w:tcW w:w="106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TYPE OF REPORTING PERSON*</w:t>
            </w:r>
          </w:p>
        </w:tc>
      </w:tr>
      <w:tr>
        <w:trPr>
          <w:trHeight w:val="432"/>
        </w:trPr>
        <w:tc>
          <w:tcPr>
            <w:tcW w:w="54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200" w:type="dxa"/>
            <w:vAlign w:val="bottom"/>
          </w:tcPr>
          <w:p>
            <w:pPr>
              <w:ind w:left="60"/>
              <w:spacing w:after="0"/>
              <w:rPr>
                <w:sz w:val="20"/>
                <w:szCs w:val="20"/>
                <w:color w:val="auto"/>
              </w:rPr>
            </w:pPr>
            <w:r>
              <w:rPr>
                <w:rFonts w:ascii="Arial" w:cs="Arial" w:eastAsia="Arial" w:hAnsi="Arial"/>
                <w:sz w:val="18"/>
                <w:szCs w:val="18"/>
                <w:b w:val="1"/>
                <w:bCs w:val="1"/>
                <w:color w:val="auto"/>
              </w:rPr>
              <w:t>IN</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740" w:type="dxa"/>
            <w:vAlign w:val="bottom"/>
            <w:tcBorders>
              <w:right w:val="single" w:sz="8" w:color="auto"/>
            </w:tcBorders>
          </w:tcPr>
          <w:p>
            <w:pPr>
              <w:spacing w:after="0"/>
              <w:rPr>
                <w:sz w:val="24"/>
                <w:szCs w:val="24"/>
                <w:color w:val="auto"/>
              </w:rPr>
            </w:pPr>
          </w:p>
        </w:tc>
      </w:tr>
      <w:tr>
        <w:trPr>
          <w:trHeight w:val="54"/>
        </w:trPr>
        <w:tc>
          <w:tcPr>
            <w:tcW w:w="54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74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520"/>
          </w:cols>
          <w:pgMar w:left="220" w:top="50" w:right="159" w:bottom="1440" w:gutter="0" w:footer="0" w:header="0"/>
        </w:sectPr>
      </w:pPr>
    </w:p>
    <w:bookmarkStart w:id="2" w:name="page3"/>
    <w:bookmarkEnd w:id="2"/>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333"/>
        </w:trPr>
        <w:tc>
          <w:tcPr>
            <w:tcW w:w="3800" w:type="dxa"/>
            <w:vAlign w:val="bottom"/>
            <w:vMerge w:val="restart"/>
          </w:tcPr>
          <w:p>
            <w:pPr>
              <w:spacing w:after="0"/>
              <w:rPr>
                <w:sz w:val="20"/>
                <w:szCs w:val="20"/>
                <w:color w:val="auto"/>
              </w:rPr>
            </w:pPr>
            <w:r>
              <w:rPr>
                <w:rFonts w:ascii="Arial" w:cs="Arial" w:eastAsia="Arial" w:hAnsi="Arial"/>
                <w:sz w:val="18"/>
                <w:szCs w:val="18"/>
                <w:color w:val="auto"/>
              </w:rPr>
              <w:t>CUSIP No. 60937P106</w:t>
            </w:r>
          </w:p>
        </w:tc>
        <w:tc>
          <w:tcPr>
            <w:tcW w:w="2620" w:type="dxa"/>
            <w:vAlign w:val="bottom"/>
          </w:tcPr>
          <w:p>
            <w:pPr>
              <w:ind w:left="2100"/>
              <w:spacing w:after="0"/>
              <w:rPr>
                <w:sz w:val="20"/>
                <w:szCs w:val="20"/>
                <w:color w:val="auto"/>
              </w:rPr>
            </w:pPr>
            <w:r>
              <w:rPr>
                <w:rFonts w:ascii="Arial" w:cs="Arial" w:eastAsia="Arial" w:hAnsi="Arial"/>
                <w:sz w:val="29"/>
                <w:szCs w:val="29"/>
                <w:b w:val="1"/>
                <w:bCs w:val="1"/>
                <w:color w:val="auto"/>
                <w:w w:val="91"/>
              </w:rPr>
              <w:t>13G</w:t>
            </w:r>
          </w:p>
        </w:tc>
        <w:tc>
          <w:tcPr>
            <w:tcW w:w="0" w:type="dxa"/>
            <w:vAlign w:val="bottom"/>
          </w:tcPr>
          <w:p>
            <w:pPr>
              <w:spacing w:after="0"/>
              <w:rPr>
                <w:sz w:val="1"/>
                <w:szCs w:val="1"/>
                <w:color w:val="auto"/>
              </w:rPr>
            </w:pPr>
          </w:p>
        </w:tc>
      </w:tr>
      <w:tr>
        <w:trPr>
          <w:trHeight w:val="54"/>
        </w:trPr>
        <w:tc>
          <w:tcPr>
            <w:tcW w:w="3800" w:type="dxa"/>
            <w:vAlign w:val="bottom"/>
            <w:vMerge w:val="continue"/>
          </w:tcPr>
          <w:p>
            <w:pPr>
              <w:spacing w:after="0"/>
              <w:rPr>
                <w:sz w:val="4"/>
                <w:szCs w:val="4"/>
                <w:color w:val="auto"/>
              </w:rPr>
            </w:pPr>
          </w:p>
        </w:tc>
        <w:tc>
          <w:tcPr>
            <w:tcW w:w="2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310"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3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MongoDB, Inc.</w:t>
      </w:r>
    </w:p>
    <w:p>
      <w:pPr>
        <w:spacing w:after="0" w:line="310" w:lineRule="exact"/>
        <w:rPr>
          <w:rFonts w:ascii="Arial" w:cs="Arial" w:eastAsia="Arial" w:hAnsi="Arial"/>
          <w:sz w:val="18"/>
          <w:szCs w:val="18"/>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7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1633 Broadway, 38</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Floor</w:t>
      </w:r>
    </w:p>
    <w:p>
      <w:pPr>
        <w:spacing w:after="0" w:line="50"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New York, New York 10019</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310"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302"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b w:val="1"/>
          <w:bCs w:val="1"/>
          <w:color w:val="auto"/>
        </w:rPr>
        <w:t>Eliot Horowitz</w:t>
      </w:r>
    </w:p>
    <w:p>
      <w:pPr>
        <w:spacing w:after="0" w:line="310" w:lineRule="exact"/>
        <w:rPr>
          <w:rFonts w:ascii="Arial" w:cs="Arial" w:eastAsia="Arial" w:hAnsi="Arial"/>
          <w:sz w:val="18"/>
          <w:szCs w:val="18"/>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30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The address for the principal business office of Eliot Horowitz is: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c/o MongoDB, Inc.</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1633 Broadway, 38</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Floor</w:t>
      </w:r>
    </w:p>
    <w:p>
      <w:pPr>
        <w:spacing w:after="0" w:line="1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New York, New York 10019</w:t>
      </w:r>
    </w:p>
    <w:p>
      <w:pPr>
        <w:spacing w:after="0" w:line="290"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30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United States</w:t>
      </w:r>
    </w:p>
    <w:p>
      <w:pPr>
        <w:spacing w:after="0" w:line="310"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30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310"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3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60937P106</w:t>
      </w:r>
    </w:p>
    <w:p>
      <w:pPr>
        <w:spacing w:after="0" w:line="306" w:lineRule="exact"/>
        <w:rPr>
          <w:sz w:val="20"/>
          <w:szCs w:val="20"/>
          <w:color w:val="auto"/>
        </w:rPr>
      </w:pPr>
    </w:p>
    <w:p>
      <w:pPr>
        <w:spacing w:after="0"/>
        <w:tabs>
          <w:tab w:leader="none" w:pos="960" w:val="left"/>
          <w:tab w:leader="none" w:pos="9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§§240.13d-1(b) or 240.13d-2(b) or (c), check whether the person filing is a:</w:t>
      </w:r>
      <w:r>
        <w:rPr>
          <w:sz w:val="20"/>
          <w:szCs w:val="20"/>
          <w:color w:val="auto"/>
        </w:rPr>
        <w:tab/>
      </w:r>
      <w:r>
        <w:rPr>
          <w:rFonts w:ascii="Arial" w:cs="Arial" w:eastAsia="Arial" w:hAnsi="Arial"/>
          <w:sz w:val="17"/>
          <w:szCs w:val="17"/>
          <w:color w:val="auto"/>
        </w:rPr>
        <w:t>NOT APPLICABLE.</w:t>
      </w:r>
    </w:p>
    <w:p>
      <w:pPr>
        <w:sectPr>
          <w:pgSz w:w="11900" w:h="16838" w:orient="portrait"/>
          <w:cols w:equalWidth="0" w:num="1">
            <w:col w:w="11180"/>
          </w:cols>
          <w:pgMar w:left="160" w:top="50" w:right="559" w:bottom="1440" w:gutter="0" w:footer="0" w:header="0"/>
        </w:sectPr>
      </w:pPr>
    </w:p>
    <w:bookmarkStart w:id="3" w:name="page4"/>
    <w:bookmarkEnd w:id="3"/>
    <w:tbl>
      <w:tblPr>
        <w:tblLayout w:type="fixed"/>
        <w:tblInd w:w="140" w:type="dxa"/>
        <w:tblCellMar>
          <w:top w:w="0" w:type="dxa"/>
          <w:left w:w="0" w:type="dxa"/>
          <w:bottom w:w="0" w:type="dxa"/>
          <w:right w:w="0" w:type="dxa"/>
        </w:tblCellMar>
      </w:tblPr>
      <w:tr>
        <w:trPr>
          <w:trHeight w:val="333"/>
        </w:trPr>
        <w:tc>
          <w:tcPr>
            <w:tcW w:w="3800" w:type="dxa"/>
            <w:vAlign w:val="bottom"/>
            <w:vMerge w:val="restart"/>
          </w:tcPr>
          <w:p>
            <w:pPr>
              <w:spacing w:after="0"/>
              <w:rPr>
                <w:sz w:val="20"/>
                <w:szCs w:val="20"/>
                <w:color w:val="auto"/>
              </w:rPr>
            </w:pPr>
            <w:r>
              <w:rPr>
                <w:rFonts w:ascii="Arial" w:cs="Arial" w:eastAsia="Arial" w:hAnsi="Arial"/>
                <w:sz w:val="18"/>
                <w:szCs w:val="18"/>
                <w:color w:val="auto"/>
              </w:rPr>
              <w:t>CUSIP No. 60937P106</w:t>
            </w:r>
          </w:p>
        </w:tc>
        <w:tc>
          <w:tcPr>
            <w:tcW w:w="2620" w:type="dxa"/>
            <w:vAlign w:val="bottom"/>
          </w:tcPr>
          <w:p>
            <w:pPr>
              <w:ind w:left="2100"/>
              <w:spacing w:after="0"/>
              <w:rPr>
                <w:sz w:val="20"/>
                <w:szCs w:val="20"/>
                <w:color w:val="auto"/>
              </w:rPr>
            </w:pPr>
            <w:r>
              <w:rPr>
                <w:rFonts w:ascii="Arial" w:cs="Arial" w:eastAsia="Arial" w:hAnsi="Arial"/>
                <w:sz w:val="29"/>
                <w:szCs w:val="29"/>
                <w:b w:val="1"/>
                <w:bCs w:val="1"/>
                <w:color w:val="auto"/>
                <w:w w:val="91"/>
              </w:rPr>
              <w:t>13G</w:t>
            </w:r>
          </w:p>
        </w:tc>
        <w:tc>
          <w:tcPr>
            <w:tcW w:w="0" w:type="dxa"/>
            <w:vAlign w:val="bottom"/>
          </w:tcPr>
          <w:p>
            <w:pPr>
              <w:spacing w:after="0"/>
              <w:rPr>
                <w:sz w:val="1"/>
                <w:szCs w:val="1"/>
                <w:color w:val="auto"/>
              </w:rPr>
            </w:pPr>
          </w:p>
        </w:tc>
      </w:tr>
      <w:tr>
        <w:trPr>
          <w:trHeight w:val="54"/>
        </w:trPr>
        <w:tc>
          <w:tcPr>
            <w:tcW w:w="3800" w:type="dxa"/>
            <w:vAlign w:val="bottom"/>
            <w:vMerge w:val="continue"/>
          </w:tcPr>
          <w:p>
            <w:pPr>
              <w:spacing w:after="0"/>
              <w:rPr>
                <w:sz w:val="4"/>
                <w:szCs w:val="4"/>
                <w:color w:val="auto"/>
              </w:rPr>
            </w:pPr>
          </w:p>
        </w:tc>
        <w:tc>
          <w:tcPr>
            <w:tcW w:w="2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480" w:type="dxa"/>
            <w:vAlign w:val="bottom"/>
            <w:tcBorders>
              <w:top w:val="single" w:sz="8" w:color="auto"/>
              <w:left w:val="single" w:sz="8" w:color="auto"/>
              <w:right w:val="single" w:sz="8" w:color="auto"/>
            </w:tcBorders>
          </w:tcPr>
          <w:p>
            <w:pPr>
              <w:spacing w:after="0"/>
              <w:rPr>
                <w:sz w:val="21"/>
                <w:szCs w:val="21"/>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Broker or dealer registered under section 15 of the Act (15 U.S.C. 78o).</w:t>
            </w:r>
          </w:p>
        </w:tc>
        <w:tc>
          <w:tcPr>
            <w:tcW w:w="0" w:type="dxa"/>
            <w:vAlign w:val="bottom"/>
          </w:tcPr>
          <w:p>
            <w:pPr>
              <w:spacing w:after="0"/>
              <w:rPr>
                <w:sz w:val="1"/>
                <w:szCs w:val="1"/>
                <w:color w:val="auto"/>
              </w:rPr>
            </w:pPr>
          </w:p>
        </w:tc>
      </w:tr>
      <w:tr>
        <w:trPr>
          <w:trHeight w:val="47"/>
        </w:trPr>
        <w:tc>
          <w:tcPr>
            <w:tcW w:w="500" w:type="dxa"/>
            <w:vAlign w:val="bottom"/>
            <w:vMerge w:val="restart"/>
          </w:tcPr>
          <w:p>
            <w:pPr>
              <w:spacing w:after="0"/>
              <w:rPr>
                <w:sz w:val="20"/>
                <w:szCs w:val="20"/>
                <w:color w:val="auto"/>
              </w:rPr>
            </w:pPr>
            <w:r>
              <w:rPr>
                <w:rFonts w:ascii="Arial" w:cs="Arial" w:eastAsia="Arial" w:hAnsi="Arial"/>
                <w:sz w:val="18"/>
                <w:szCs w:val="18"/>
                <w:color w:val="auto"/>
              </w:rPr>
              <w:t>(b)</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rPr>
              <w:t>Bank as defined in section 3(a)(6) of the Act (15 U.S.C. 78c).</w:t>
            </w:r>
          </w:p>
        </w:tc>
        <w:tc>
          <w:tcPr>
            <w:tcW w:w="0" w:type="dxa"/>
            <w:vAlign w:val="bottom"/>
          </w:tcPr>
          <w:p>
            <w:pPr>
              <w:spacing w:after="0"/>
              <w:rPr>
                <w:sz w:val="1"/>
                <w:szCs w:val="1"/>
                <w:color w:val="auto"/>
              </w:rPr>
            </w:pPr>
          </w:p>
        </w:tc>
      </w:tr>
      <w:tr>
        <w:trPr>
          <w:trHeight w:val="290"/>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vMerge w:val="restart"/>
          </w:tcPr>
          <w:p>
            <w:pPr>
              <w:spacing w:after="0"/>
              <w:rPr>
                <w:sz w:val="20"/>
                <w:szCs w:val="20"/>
                <w:color w:val="auto"/>
              </w:rPr>
            </w:pPr>
            <w:r>
              <w:rPr>
                <w:rFonts w:ascii="Arial" w:cs="Arial" w:eastAsia="Arial" w:hAnsi="Arial"/>
                <w:sz w:val="18"/>
                <w:szCs w:val="18"/>
                <w:color w:val="auto"/>
              </w:rPr>
              <w:t>(c)</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rPr>
              <w:t>Insurance company as defined in section 3(a)(19) of the Act (15 U.S.C. 78c).</w:t>
            </w:r>
          </w:p>
        </w:tc>
        <w:tc>
          <w:tcPr>
            <w:tcW w:w="0" w:type="dxa"/>
            <w:vAlign w:val="bottom"/>
          </w:tcPr>
          <w:p>
            <w:pPr>
              <w:spacing w:after="0"/>
              <w:rPr>
                <w:sz w:val="1"/>
                <w:szCs w:val="1"/>
                <w:color w:val="auto"/>
              </w:rPr>
            </w:pPr>
          </w:p>
        </w:tc>
      </w:tr>
      <w:tr>
        <w:trPr>
          <w:trHeight w:val="290"/>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vMerge w:val="restart"/>
          </w:tcPr>
          <w:p>
            <w:pPr>
              <w:spacing w:after="0"/>
              <w:rPr>
                <w:sz w:val="20"/>
                <w:szCs w:val="20"/>
                <w:color w:val="auto"/>
              </w:rPr>
            </w:pPr>
            <w:r>
              <w:rPr>
                <w:rFonts w:ascii="Arial" w:cs="Arial" w:eastAsia="Arial" w:hAnsi="Arial"/>
                <w:sz w:val="18"/>
                <w:szCs w:val="18"/>
                <w:color w:val="auto"/>
              </w:rPr>
              <w:t>(d)</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w w:val="90"/>
              </w:rPr>
              <w:t>Investment company registered under section 8 of the Investment Company Act of 1940 (15 U.S.C 80a-8).</w:t>
            </w:r>
          </w:p>
        </w:tc>
        <w:tc>
          <w:tcPr>
            <w:tcW w:w="0" w:type="dxa"/>
            <w:vAlign w:val="bottom"/>
          </w:tcPr>
          <w:p>
            <w:pPr>
              <w:spacing w:after="0"/>
              <w:rPr>
                <w:sz w:val="1"/>
                <w:szCs w:val="1"/>
                <w:color w:val="auto"/>
              </w:rPr>
            </w:pPr>
          </w:p>
        </w:tc>
      </w:tr>
      <w:tr>
        <w:trPr>
          <w:trHeight w:val="290"/>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vMerge w:val="restart"/>
          </w:tcPr>
          <w:p>
            <w:pPr>
              <w:spacing w:after="0"/>
              <w:rPr>
                <w:sz w:val="20"/>
                <w:szCs w:val="20"/>
                <w:color w:val="auto"/>
              </w:rPr>
            </w:pPr>
            <w:r>
              <w:rPr>
                <w:rFonts w:ascii="Arial" w:cs="Arial" w:eastAsia="Arial" w:hAnsi="Arial"/>
                <w:sz w:val="18"/>
                <w:szCs w:val="18"/>
                <w:color w:val="auto"/>
              </w:rPr>
              <w:t>(e)</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rPr>
              <w:t>An investment adviser in accordance with §240.13d-1(b)(1)(ii)(E);</w:t>
            </w:r>
          </w:p>
        </w:tc>
        <w:tc>
          <w:tcPr>
            <w:tcW w:w="0" w:type="dxa"/>
            <w:vAlign w:val="bottom"/>
          </w:tcPr>
          <w:p>
            <w:pPr>
              <w:spacing w:after="0"/>
              <w:rPr>
                <w:sz w:val="1"/>
                <w:szCs w:val="1"/>
                <w:color w:val="auto"/>
              </w:rPr>
            </w:pPr>
          </w:p>
        </w:tc>
      </w:tr>
      <w:tr>
        <w:trPr>
          <w:trHeight w:val="290"/>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vMerge w:val="restart"/>
          </w:tcPr>
          <w:p>
            <w:pPr>
              <w:spacing w:after="0"/>
              <w:rPr>
                <w:sz w:val="20"/>
                <w:szCs w:val="20"/>
                <w:color w:val="auto"/>
              </w:rPr>
            </w:pPr>
            <w:r>
              <w:rPr>
                <w:rFonts w:ascii="Arial" w:cs="Arial" w:eastAsia="Arial" w:hAnsi="Arial"/>
                <w:sz w:val="18"/>
                <w:szCs w:val="18"/>
                <w:color w:val="auto"/>
              </w:rPr>
              <w:t>(f)</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rPr>
              <w:t>An employee benefit plan or endowment fund in accordance with §240.13d-1(b)(1)(ii)(F);</w:t>
            </w:r>
          </w:p>
        </w:tc>
        <w:tc>
          <w:tcPr>
            <w:tcW w:w="0" w:type="dxa"/>
            <w:vAlign w:val="bottom"/>
          </w:tcPr>
          <w:p>
            <w:pPr>
              <w:spacing w:after="0"/>
              <w:rPr>
                <w:sz w:val="1"/>
                <w:szCs w:val="1"/>
                <w:color w:val="auto"/>
              </w:rPr>
            </w:pPr>
          </w:p>
        </w:tc>
      </w:tr>
      <w:tr>
        <w:trPr>
          <w:trHeight w:val="291"/>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vMerge w:val="restart"/>
          </w:tcPr>
          <w:p>
            <w:pPr>
              <w:spacing w:after="0"/>
              <w:rPr>
                <w:sz w:val="20"/>
                <w:szCs w:val="20"/>
                <w:color w:val="auto"/>
              </w:rPr>
            </w:pPr>
            <w:r>
              <w:rPr>
                <w:rFonts w:ascii="Arial" w:cs="Arial" w:eastAsia="Arial" w:hAnsi="Arial"/>
                <w:sz w:val="18"/>
                <w:szCs w:val="18"/>
                <w:color w:val="auto"/>
              </w:rPr>
              <w:t>(g)</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rPr>
              <w:t>A parent holding company or control person in accordance with § 240.13d-1(b)(1)(ii)(G);</w:t>
            </w:r>
          </w:p>
        </w:tc>
        <w:tc>
          <w:tcPr>
            <w:tcW w:w="0" w:type="dxa"/>
            <w:vAlign w:val="bottom"/>
          </w:tcPr>
          <w:p>
            <w:pPr>
              <w:spacing w:after="0"/>
              <w:rPr>
                <w:sz w:val="1"/>
                <w:szCs w:val="1"/>
                <w:color w:val="auto"/>
              </w:rPr>
            </w:pPr>
          </w:p>
        </w:tc>
      </w:tr>
      <w:tr>
        <w:trPr>
          <w:trHeight w:val="291"/>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vMerge w:val="restart"/>
          </w:tcPr>
          <w:p>
            <w:pPr>
              <w:spacing w:after="0"/>
              <w:rPr>
                <w:sz w:val="20"/>
                <w:szCs w:val="20"/>
                <w:color w:val="auto"/>
              </w:rPr>
            </w:pPr>
            <w:r>
              <w:rPr>
                <w:rFonts w:ascii="Arial" w:cs="Arial" w:eastAsia="Arial" w:hAnsi="Arial"/>
                <w:sz w:val="18"/>
                <w:szCs w:val="18"/>
                <w:color w:val="auto"/>
              </w:rPr>
              <w:t>(h)</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vMerge w:val="restart"/>
          </w:tcPr>
          <w:p>
            <w:pPr>
              <w:ind w:left="80"/>
              <w:spacing w:after="0"/>
              <w:rPr>
                <w:sz w:val="20"/>
                <w:szCs w:val="20"/>
                <w:color w:val="auto"/>
              </w:rPr>
            </w:pPr>
            <w:r>
              <w:rPr>
                <w:rFonts w:ascii="Arial" w:cs="Arial" w:eastAsia="Arial" w:hAnsi="Arial"/>
                <w:sz w:val="18"/>
                <w:szCs w:val="18"/>
                <w:color w:val="auto"/>
                <w:w w:val="91"/>
              </w:rPr>
              <w:t>A savings associations as defined in Section 3(b) of the Federal Deposit Insurance Act (12 U.S.C. 1813);</w:t>
            </w:r>
          </w:p>
        </w:tc>
        <w:tc>
          <w:tcPr>
            <w:tcW w:w="0" w:type="dxa"/>
            <w:vAlign w:val="bottom"/>
          </w:tcPr>
          <w:p>
            <w:pPr>
              <w:spacing w:after="0"/>
              <w:rPr>
                <w:sz w:val="1"/>
                <w:szCs w:val="1"/>
                <w:color w:val="auto"/>
              </w:rPr>
            </w:pPr>
          </w:p>
        </w:tc>
      </w:tr>
      <w:tr>
        <w:trPr>
          <w:trHeight w:val="291"/>
        </w:trPr>
        <w:tc>
          <w:tcPr>
            <w:tcW w:w="50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188595</wp:posOffset>
            </wp:positionV>
            <wp:extent cx="299720" cy="334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9720" cy="334010"/>
                    </a:xfrm>
                    <a:prstGeom prst="rect">
                      <a:avLst/>
                    </a:prstGeom>
                    <a:noFill/>
                  </pic:spPr>
                </pic:pic>
              </a:graphicData>
            </a:graphic>
          </wp:anchor>
        </w:drawing>
      </w:r>
    </w:p>
    <w:p>
      <w:pPr>
        <w:spacing w:after="0" w:line="290" w:lineRule="exact"/>
        <w:rPr>
          <w:sz w:val="20"/>
          <w:szCs w:val="20"/>
          <w:color w:val="auto"/>
        </w:rPr>
      </w:pPr>
    </w:p>
    <w:p>
      <w:pPr>
        <w:ind w:left="1200" w:right="220" w:hanging="1057"/>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40" w:type="dxa"/>
            <w:vAlign w:val="bottom"/>
          </w:tcPr>
          <w:p>
            <w:pPr>
              <w:ind w:left="140"/>
              <w:spacing w:after="0"/>
              <w:rPr>
                <w:sz w:val="20"/>
                <w:szCs w:val="20"/>
                <w:color w:val="auto"/>
              </w:rPr>
            </w:pPr>
            <w:r>
              <w:rPr>
                <w:rFonts w:ascii="Arial" w:cs="Arial" w:eastAsia="Arial" w:hAnsi="Arial"/>
                <w:sz w:val="18"/>
                <w:szCs w:val="18"/>
                <w:color w:val="auto"/>
              </w:rPr>
              <w:t>(j)</w:t>
            </w:r>
          </w:p>
        </w:tc>
        <w:tc>
          <w:tcPr>
            <w:tcW w:w="480" w:type="dxa"/>
            <w:vAlign w:val="bottom"/>
            <w:tcBorders>
              <w:top w:val="single" w:sz="8" w:color="auto"/>
              <w:left w:val="single" w:sz="8" w:color="auto"/>
              <w:right w:val="single" w:sz="8" w:color="auto"/>
            </w:tcBorders>
          </w:tcPr>
          <w:p>
            <w:pPr>
              <w:spacing w:after="0"/>
              <w:rPr>
                <w:sz w:val="21"/>
                <w:szCs w:val="21"/>
                <w:color w:val="auto"/>
              </w:rPr>
            </w:pPr>
          </w:p>
        </w:tc>
        <w:tc>
          <w:tcPr>
            <w:tcW w:w="7780" w:type="dxa"/>
            <w:vAlign w:val="bottom"/>
          </w:tcPr>
          <w:p>
            <w:pPr>
              <w:ind w:left="80"/>
              <w:spacing w:after="0"/>
              <w:rPr>
                <w:sz w:val="20"/>
                <w:szCs w:val="20"/>
                <w:color w:val="auto"/>
              </w:rPr>
            </w:pPr>
            <w:r>
              <w:rPr>
                <w:rFonts w:ascii="Arial" w:cs="Arial" w:eastAsia="Arial" w:hAnsi="Arial"/>
                <w:sz w:val="18"/>
                <w:szCs w:val="18"/>
                <w:color w:val="auto"/>
              </w:rPr>
              <w:t>A non-U.S. institution in accordance with §240.13d-1(b)(1)(ii)(J);</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640" w:type="dxa"/>
            <w:vAlign w:val="bottom"/>
            <w:vMerge w:val="restart"/>
          </w:tcPr>
          <w:p>
            <w:pPr>
              <w:ind w:left="140"/>
              <w:spacing w:after="0"/>
              <w:rPr>
                <w:sz w:val="20"/>
                <w:szCs w:val="20"/>
                <w:color w:val="auto"/>
              </w:rPr>
            </w:pPr>
            <w:r>
              <w:rPr>
                <w:rFonts w:ascii="Arial" w:cs="Arial" w:eastAsia="Arial" w:hAnsi="Arial"/>
                <w:sz w:val="18"/>
                <w:szCs w:val="18"/>
                <w:color w:val="auto"/>
              </w:rPr>
              <w:t>(k)</w:t>
            </w: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80" w:type="dxa"/>
            <w:vAlign w:val="bottom"/>
            <w:vMerge w:val="restart"/>
          </w:tcPr>
          <w:p>
            <w:pPr>
              <w:ind w:left="80"/>
              <w:spacing w:after="0"/>
              <w:rPr>
                <w:sz w:val="20"/>
                <w:szCs w:val="20"/>
                <w:color w:val="auto"/>
              </w:rPr>
            </w:pPr>
            <w:r>
              <w:rPr>
                <w:rFonts w:ascii="Arial" w:cs="Arial" w:eastAsia="Arial" w:hAnsi="Arial"/>
                <w:sz w:val="18"/>
                <w:szCs w:val="18"/>
                <w:color w:val="auto"/>
              </w:rPr>
              <w:t>Group, in accordance with §240.13d-1(b)(1)(ii)(K).</w:t>
            </w: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640" w:type="dxa"/>
            <w:vAlign w:val="bottom"/>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7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tcPr>
          <w:p>
            <w:pPr>
              <w:spacing w:after="0"/>
              <w:rPr>
                <w:sz w:val="19"/>
                <w:szCs w:val="19"/>
                <w:color w:val="auto"/>
              </w:rPr>
            </w:pPr>
          </w:p>
        </w:tc>
        <w:tc>
          <w:tcPr>
            <w:tcW w:w="778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7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6"/>
        </w:trPr>
        <w:tc>
          <w:tcPr>
            <w:tcW w:w="640" w:type="dxa"/>
            <w:vAlign w:val="bottom"/>
          </w:tcPr>
          <w:p>
            <w:pPr>
              <w:spacing w:after="0"/>
              <w:rPr>
                <w:sz w:val="24"/>
                <w:szCs w:val="24"/>
                <w:color w:val="auto"/>
              </w:rPr>
            </w:pPr>
          </w:p>
        </w:tc>
        <w:tc>
          <w:tcPr>
            <w:tcW w:w="8260" w:type="dxa"/>
            <w:vAlign w:val="bottom"/>
            <w:gridSpan w:val="2"/>
          </w:tcPr>
          <w:p>
            <w:pPr>
              <w:ind w:left="20"/>
              <w:spacing w:after="0"/>
              <w:rPr>
                <w:sz w:val="20"/>
                <w:szCs w:val="20"/>
                <w:color w:val="auto"/>
              </w:rPr>
            </w:pPr>
            <w:r>
              <w:rPr>
                <w:rFonts w:ascii="Arial" w:cs="Arial" w:eastAsia="Arial" w:hAnsi="Arial"/>
                <w:sz w:val="18"/>
                <w:szCs w:val="18"/>
                <w:color w:val="auto"/>
                <w:w w:val="93"/>
              </w:rPr>
              <w:t>If filing as a non-U.S. institution in accordance with §240.13d-1(b)(1)(ii)(J), please specify the type of institution: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260" w:type="dxa"/>
            <w:vAlign w:val="bottom"/>
            <w:gridSpan w:val="2"/>
          </w:tcPr>
          <w:p>
            <w:pPr>
              <w:ind w:left="340"/>
              <w:spacing w:after="0"/>
              <w:rPr>
                <w:sz w:val="20"/>
                <w:szCs w:val="20"/>
                <w:color w:val="auto"/>
              </w:rPr>
            </w:pPr>
            <w:r>
              <w:rPr>
                <w:rFonts w:ascii="Arial" w:cs="Arial" w:eastAsia="Arial" w:hAnsi="Arial"/>
                <w:sz w:val="18"/>
                <w:szCs w:val="18"/>
                <w:b w:val="1"/>
                <w:bCs w:val="1"/>
                <w:color w:val="auto"/>
              </w:rPr>
              <w:t>Ownership.</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318"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302" w:lineRule="exact"/>
        <w:rPr>
          <w:rFonts w:ascii="Arial" w:cs="Arial" w:eastAsia="Arial" w:hAnsi="Arial"/>
          <w:sz w:val="18"/>
          <w:szCs w:val="18"/>
          <w:color w:val="auto"/>
        </w:rPr>
      </w:pPr>
    </w:p>
    <w:p>
      <w:pPr>
        <w:jc w:val="both"/>
        <w:ind w:left="440"/>
        <w:spacing w:after="0" w:line="347" w:lineRule="auto"/>
        <w:rPr>
          <w:rFonts w:ascii="Arial" w:cs="Arial" w:eastAsia="Arial" w:hAnsi="Arial"/>
          <w:sz w:val="18"/>
          <w:szCs w:val="18"/>
          <w:color w:val="auto"/>
        </w:rPr>
      </w:pPr>
      <w:r>
        <w:rPr>
          <w:rFonts w:ascii="Arial" w:cs="Arial" w:eastAsia="Arial" w:hAnsi="Arial"/>
          <w:sz w:val="16"/>
          <w:szCs w:val="16"/>
          <w:b w:val="1"/>
          <w:bCs w:val="1"/>
          <w:color w:val="auto"/>
        </w:rPr>
        <w:t>As of December 31, 2018: Mr. Horowitz beneficially owned 9,088 shares of the Issuer’s Class A Common Stock, of which 5,625 are issuable upon the vesting of restricted stock units held by Mr. Horowitz, within 60 days of December 31, 2018; and 2,359,463 shares of the Issuer’s Class B Common Stock, of which (i) 1,459,463 are held directly by him, (ii) 375,000 are held by The ERH Family 2012 Trust for the benefit of his children and (iii) 525,000 are issuable upon the exercise of options held by Mr. Horowitz within 60 days of December 31, 2018. The Class B Common Stock is convertible at the holder’s option into the Issuer’s Class A Common Stock on a 1-for-1 basis. The holders of Class B Common Stock are entitled to ten votes per share and the holders of Class A Common Stock are entitled to one vote per share.</w:t>
      </w:r>
    </w:p>
    <w:p>
      <w:pPr>
        <w:spacing w:after="0" w:line="203" w:lineRule="exact"/>
        <w:rPr>
          <w:rFonts w:ascii="Arial" w:cs="Arial" w:eastAsia="Arial" w:hAnsi="Arial"/>
          <w:sz w:val="18"/>
          <w:szCs w:val="18"/>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302" w:lineRule="exact"/>
        <w:rPr>
          <w:rFonts w:ascii="Arial" w:cs="Arial" w:eastAsia="Arial" w:hAnsi="Arial"/>
          <w:sz w:val="18"/>
          <w:szCs w:val="18"/>
          <w:color w:val="auto"/>
        </w:rPr>
      </w:pPr>
    </w:p>
    <w:p>
      <w:pPr>
        <w:jc w:val="both"/>
        <w:ind w:left="440"/>
        <w:spacing w:after="0" w:line="313" w:lineRule="auto"/>
        <w:rPr>
          <w:rFonts w:ascii="Arial" w:cs="Arial" w:eastAsia="Arial" w:hAnsi="Arial"/>
          <w:sz w:val="18"/>
          <w:szCs w:val="18"/>
          <w:color w:val="auto"/>
        </w:rPr>
      </w:pPr>
      <w:r>
        <w:rPr>
          <w:rFonts w:ascii="Arial" w:cs="Arial" w:eastAsia="Arial" w:hAnsi="Arial"/>
          <w:sz w:val="18"/>
          <w:szCs w:val="18"/>
          <w:b w:val="1"/>
          <w:bCs w:val="1"/>
          <w:color w:val="auto"/>
        </w:rPr>
        <w:t>Based on (i) 35,887,732 shares of the Issuer’s Class A Common Stock issued and outstanding and (ii) 18,109,700 shares of the Issuer’s Class B Common Stock issued and outstanding, in each case, as of December 31, 2018, as reported by the Issuer, and the information set forth in (a) above, Mr. Horowitz</w:t>
      </w:r>
    </w:p>
    <w:p>
      <w:pPr>
        <w:sectPr>
          <w:pgSz w:w="11900" w:h="16838" w:orient="portrait"/>
          <w:cols w:equalWidth="0" w:num="1">
            <w:col w:w="11560"/>
          </w:cols>
          <w:pgMar w:left="160" w:top="50" w:right="179" w:bottom="1440" w:gutter="0" w:footer="0" w:header="0"/>
        </w:sectPr>
      </w:pPr>
    </w:p>
    <w:bookmarkStart w:id="4" w:name="page5"/>
    <w:bookmarkEnd w:id="4"/>
    <w:tbl>
      <w:tblPr>
        <w:tblLayout w:type="fixed"/>
        <w:tblInd w:w="140" w:type="dxa"/>
        <w:tblCellMar>
          <w:top w:w="0" w:type="dxa"/>
          <w:left w:w="0" w:type="dxa"/>
          <w:bottom w:w="0" w:type="dxa"/>
          <w:right w:w="0" w:type="dxa"/>
        </w:tblCellMar>
      </w:tblPr>
      <w:tr>
        <w:trPr>
          <w:trHeight w:val="333"/>
        </w:trPr>
        <w:tc>
          <w:tcPr>
            <w:tcW w:w="3800" w:type="dxa"/>
            <w:vAlign w:val="bottom"/>
            <w:vMerge w:val="restart"/>
          </w:tcPr>
          <w:p>
            <w:pPr>
              <w:spacing w:after="0"/>
              <w:rPr>
                <w:sz w:val="20"/>
                <w:szCs w:val="20"/>
                <w:color w:val="auto"/>
              </w:rPr>
            </w:pPr>
            <w:r>
              <w:rPr>
                <w:rFonts w:ascii="Arial" w:cs="Arial" w:eastAsia="Arial" w:hAnsi="Arial"/>
                <w:sz w:val="18"/>
                <w:szCs w:val="18"/>
                <w:color w:val="auto"/>
              </w:rPr>
              <w:t>CUSIP No. 60937P106</w:t>
            </w:r>
          </w:p>
        </w:tc>
        <w:tc>
          <w:tcPr>
            <w:tcW w:w="2620" w:type="dxa"/>
            <w:vAlign w:val="bottom"/>
          </w:tcPr>
          <w:p>
            <w:pPr>
              <w:ind w:left="2100"/>
              <w:spacing w:after="0"/>
              <w:rPr>
                <w:sz w:val="20"/>
                <w:szCs w:val="20"/>
                <w:color w:val="auto"/>
              </w:rPr>
            </w:pPr>
            <w:r>
              <w:rPr>
                <w:rFonts w:ascii="Arial" w:cs="Arial" w:eastAsia="Arial" w:hAnsi="Arial"/>
                <w:sz w:val="29"/>
                <w:szCs w:val="29"/>
                <w:b w:val="1"/>
                <w:bCs w:val="1"/>
                <w:color w:val="auto"/>
                <w:w w:val="91"/>
              </w:rPr>
              <w:t>13G</w:t>
            </w:r>
          </w:p>
        </w:tc>
        <w:tc>
          <w:tcPr>
            <w:tcW w:w="0" w:type="dxa"/>
            <w:vAlign w:val="bottom"/>
          </w:tcPr>
          <w:p>
            <w:pPr>
              <w:spacing w:after="0"/>
              <w:rPr>
                <w:sz w:val="1"/>
                <w:szCs w:val="1"/>
                <w:color w:val="auto"/>
              </w:rPr>
            </w:pPr>
          </w:p>
        </w:tc>
      </w:tr>
      <w:tr>
        <w:trPr>
          <w:trHeight w:val="54"/>
        </w:trPr>
        <w:tc>
          <w:tcPr>
            <w:tcW w:w="3800" w:type="dxa"/>
            <w:vAlign w:val="bottom"/>
            <w:vMerge w:val="continue"/>
          </w:tcPr>
          <w:p>
            <w:pPr>
              <w:spacing w:after="0"/>
              <w:rPr>
                <w:sz w:val="4"/>
                <w:szCs w:val="4"/>
                <w:color w:val="auto"/>
              </w:rPr>
            </w:pPr>
          </w:p>
        </w:tc>
        <w:tc>
          <w:tcPr>
            <w:tcW w:w="2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440"/>
        <w:spacing w:after="0" w:line="313" w:lineRule="auto"/>
        <w:rPr>
          <w:sz w:val="20"/>
          <w:szCs w:val="20"/>
          <w:color w:val="auto"/>
        </w:rPr>
      </w:pPr>
      <w:r>
        <w:rPr>
          <w:rFonts w:ascii="Arial" w:cs="Arial" w:eastAsia="Arial" w:hAnsi="Arial"/>
          <w:sz w:val="18"/>
          <w:szCs w:val="18"/>
          <w:b w:val="1"/>
          <w:bCs w:val="1"/>
          <w:color w:val="auto"/>
        </w:rPr>
        <w:t>beneficially owned 4.3% of the Issuer’s outstanding Common Stock, representing 10.6% of the total voting power of the Issuer’s outstanding Common Stock, and 6.2% of the Issuer’s outstanding Class A Common Stock (treating only shares of Class B Common Stock beneficially owned by Mr. Horowitz as converted for purposes of computing this percentage).</w:t>
      </w:r>
    </w:p>
    <w:p>
      <w:pPr>
        <w:spacing w:after="0" w:line="220"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302" w:lineRule="exact"/>
        <w:rPr>
          <w:rFonts w:ascii="Arial" w:cs="Arial" w:eastAsia="Arial" w:hAnsi="Arial"/>
          <w:sz w:val="18"/>
          <w:szCs w:val="18"/>
          <w:color w:val="auto"/>
        </w:rPr>
      </w:pPr>
    </w:p>
    <w:p>
      <w:pPr>
        <w:ind w:left="1080" w:hanging="424"/>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 </w:t>
      </w:r>
      <w:r>
        <w:rPr>
          <w:rFonts w:ascii="Arial" w:cs="Arial" w:eastAsia="Arial" w:hAnsi="Arial"/>
          <w:sz w:val="18"/>
          <w:szCs w:val="18"/>
          <w:b w:val="1"/>
          <w:bCs w:val="1"/>
          <w:color w:val="auto"/>
        </w:rPr>
        <w:t>1,993,551</w:t>
      </w:r>
    </w:p>
    <w:p>
      <w:pPr>
        <w:spacing w:after="0" w:line="306" w:lineRule="exact"/>
        <w:rPr>
          <w:rFonts w:ascii="Arial" w:cs="Arial" w:eastAsia="Arial" w:hAnsi="Arial"/>
          <w:sz w:val="18"/>
          <w:szCs w:val="18"/>
          <w:color w:val="auto"/>
        </w:rPr>
      </w:pPr>
    </w:p>
    <w:p>
      <w:pPr>
        <w:ind w:left="1080" w:hanging="424"/>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 </w:t>
      </w:r>
      <w:r>
        <w:rPr>
          <w:rFonts w:ascii="Arial" w:cs="Arial" w:eastAsia="Arial" w:hAnsi="Arial"/>
          <w:sz w:val="18"/>
          <w:szCs w:val="18"/>
          <w:b w:val="1"/>
          <w:bCs w:val="1"/>
          <w:color w:val="auto"/>
        </w:rPr>
        <w:t>375,000</w:t>
      </w:r>
    </w:p>
    <w:p>
      <w:pPr>
        <w:spacing w:after="0" w:line="306" w:lineRule="exact"/>
        <w:rPr>
          <w:rFonts w:ascii="Arial" w:cs="Arial" w:eastAsia="Arial" w:hAnsi="Arial"/>
          <w:sz w:val="18"/>
          <w:szCs w:val="18"/>
          <w:color w:val="auto"/>
        </w:rPr>
      </w:pPr>
    </w:p>
    <w:p>
      <w:pPr>
        <w:ind w:left="1080" w:hanging="424"/>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 </w:t>
      </w:r>
      <w:r>
        <w:rPr>
          <w:rFonts w:ascii="Arial" w:cs="Arial" w:eastAsia="Arial" w:hAnsi="Arial"/>
          <w:sz w:val="18"/>
          <w:szCs w:val="18"/>
          <w:b w:val="1"/>
          <w:bCs w:val="1"/>
          <w:color w:val="auto"/>
        </w:rPr>
        <w:t>1,993,551</w:t>
      </w:r>
    </w:p>
    <w:p>
      <w:pPr>
        <w:spacing w:after="0" w:line="306" w:lineRule="exact"/>
        <w:rPr>
          <w:rFonts w:ascii="Arial" w:cs="Arial" w:eastAsia="Arial" w:hAnsi="Arial"/>
          <w:sz w:val="18"/>
          <w:szCs w:val="18"/>
          <w:color w:val="auto"/>
        </w:rPr>
      </w:pPr>
    </w:p>
    <w:p>
      <w:pPr>
        <w:ind w:left="1080" w:hanging="424"/>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 </w:t>
      </w:r>
      <w:r>
        <w:rPr>
          <w:rFonts w:ascii="Arial" w:cs="Arial" w:eastAsia="Arial" w:hAnsi="Arial"/>
          <w:sz w:val="18"/>
          <w:szCs w:val="18"/>
          <w:b w:val="1"/>
          <w:bCs w:val="1"/>
          <w:color w:val="auto"/>
        </w:rPr>
        <w:t>375,000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 see §240.13d-3(d)(1).</w:t>
      </w:r>
    </w:p>
    <w:p>
      <w:pPr>
        <w:spacing w:after="0" w:line="3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310" w:lineRule="exact"/>
        <w:rPr>
          <w:sz w:val="20"/>
          <w:szCs w:val="20"/>
          <w:color w:val="auto"/>
        </w:rPr>
      </w:pPr>
    </w:p>
    <w:p>
      <w:pPr>
        <w:ind w:right="200" w:firstLine="648"/>
        <w:spacing w:after="0" w:line="324"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 Applicable</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 Applicable</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 Applicable</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 Applicable</w:t>
      </w:r>
    </w:p>
    <w:p>
      <w:pPr>
        <w:spacing w:after="0" w:line="30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 Applicable.</w:t>
      </w:r>
    </w:p>
    <w:p>
      <w:pPr>
        <w:sectPr>
          <w:pgSz w:w="11900" w:h="16838" w:orient="portrait"/>
          <w:cols w:equalWidth="0" w:num="1">
            <w:col w:w="11560"/>
          </w:cols>
          <w:pgMar w:left="160" w:top="50" w:right="179" w:bottom="1440" w:gutter="0" w:footer="0" w:header="0"/>
        </w:sectPr>
      </w:pPr>
    </w:p>
    <w:bookmarkStart w:id="5" w:name="page6"/>
    <w:bookmarkEnd w:id="5"/>
    <w:tbl>
      <w:tblPr>
        <w:tblLayout w:type="fixed"/>
        <w:tblInd w:w="140" w:type="dxa"/>
        <w:tblCellMar>
          <w:top w:w="0" w:type="dxa"/>
          <w:left w:w="0" w:type="dxa"/>
          <w:bottom w:w="0" w:type="dxa"/>
          <w:right w:w="0" w:type="dxa"/>
        </w:tblCellMar>
      </w:tblPr>
      <w:tr>
        <w:trPr>
          <w:trHeight w:val="333"/>
        </w:trPr>
        <w:tc>
          <w:tcPr>
            <w:tcW w:w="3800" w:type="dxa"/>
            <w:vAlign w:val="bottom"/>
            <w:vMerge w:val="restart"/>
          </w:tcPr>
          <w:p>
            <w:pPr>
              <w:spacing w:after="0"/>
              <w:rPr>
                <w:sz w:val="20"/>
                <w:szCs w:val="20"/>
                <w:color w:val="auto"/>
              </w:rPr>
            </w:pPr>
            <w:r>
              <w:rPr>
                <w:rFonts w:ascii="Arial" w:cs="Arial" w:eastAsia="Arial" w:hAnsi="Arial"/>
                <w:sz w:val="18"/>
                <w:szCs w:val="18"/>
                <w:color w:val="auto"/>
              </w:rPr>
              <w:t>CUSIP No. 60937P106</w:t>
            </w:r>
          </w:p>
        </w:tc>
        <w:tc>
          <w:tcPr>
            <w:tcW w:w="2620" w:type="dxa"/>
            <w:vAlign w:val="bottom"/>
          </w:tcPr>
          <w:p>
            <w:pPr>
              <w:ind w:left="2100"/>
              <w:spacing w:after="0"/>
              <w:rPr>
                <w:sz w:val="20"/>
                <w:szCs w:val="20"/>
                <w:color w:val="auto"/>
              </w:rPr>
            </w:pPr>
            <w:r>
              <w:rPr>
                <w:rFonts w:ascii="Arial" w:cs="Arial" w:eastAsia="Arial" w:hAnsi="Arial"/>
                <w:sz w:val="29"/>
                <w:szCs w:val="29"/>
                <w:b w:val="1"/>
                <w:bCs w:val="1"/>
                <w:color w:val="auto"/>
                <w:w w:val="91"/>
              </w:rPr>
              <w:t>13G</w:t>
            </w:r>
          </w:p>
        </w:tc>
        <w:tc>
          <w:tcPr>
            <w:tcW w:w="0" w:type="dxa"/>
            <w:vAlign w:val="bottom"/>
          </w:tcPr>
          <w:p>
            <w:pPr>
              <w:spacing w:after="0"/>
              <w:rPr>
                <w:sz w:val="1"/>
                <w:szCs w:val="1"/>
                <w:color w:val="auto"/>
              </w:rPr>
            </w:pPr>
          </w:p>
        </w:tc>
      </w:tr>
      <w:tr>
        <w:trPr>
          <w:trHeight w:val="54"/>
        </w:trPr>
        <w:tc>
          <w:tcPr>
            <w:tcW w:w="3800" w:type="dxa"/>
            <w:vAlign w:val="bottom"/>
            <w:vMerge w:val="continue"/>
          </w:tcPr>
          <w:p>
            <w:pPr>
              <w:spacing w:after="0"/>
              <w:rPr>
                <w:sz w:val="4"/>
                <w:szCs w:val="4"/>
                <w:color w:val="auto"/>
              </w:rPr>
            </w:pPr>
          </w:p>
        </w:tc>
        <w:tc>
          <w:tcPr>
            <w:tcW w:w="2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40" w:type="dxa"/>
        <w:tblCellMar>
          <w:top w:w="0" w:type="dxa"/>
          <w:left w:w="0" w:type="dxa"/>
          <w:bottom w:w="0" w:type="dxa"/>
          <w:right w:w="0" w:type="dxa"/>
        </w:tblCellMar>
      </w:tblPr>
      <w:tr>
        <w:trPr>
          <w:trHeight w:val="217"/>
        </w:trPr>
        <w:tc>
          <w:tcPr>
            <w:tcW w:w="3260" w:type="dxa"/>
            <w:vAlign w:val="bottom"/>
          </w:tcPr>
          <w:p>
            <w:pPr>
              <w:spacing w:after="0"/>
              <w:rPr>
                <w:sz w:val="20"/>
                <w:szCs w:val="20"/>
                <w:color w:val="auto"/>
              </w:rPr>
            </w:pPr>
            <w:r>
              <w:rPr>
                <w:rFonts w:ascii="Arial" w:cs="Arial" w:eastAsia="Arial" w:hAnsi="Arial"/>
                <w:sz w:val="18"/>
                <w:szCs w:val="18"/>
                <w:color w:val="auto"/>
              </w:rPr>
              <w:t>February 8, 2019</w:t>
            </w:r>
          </w:p>
        </w:tc>
        <w:tc>
          <w:tcPr>
            <w:tcW w:w="3600" w:type="dxa"/>
            <w:vAlign w:val="bottom"/>
            <w:gridSpan w:val="3"/>
          </w:tcPr>
          <w:p>
            <w:pPr>
              <w:ind w:left="2040"/>
              <w:spacing w:after="0"/>
              <w:rPr>
                <w:sz w:val="20"/>
                <w:szCs w:val="20"/>
                <w:color w:val="auto"/>
              </w:rPr>
            </w:pPr>
            <w:r>
              <w:rPr>
                <w:rFonts w:ascii="Arial" w:cs="Arial" w:eastAsia="Arial" w:hAnsi="Arial"/>
                <w:sz w:val="18"/>
                <w:szCs w:val="18"/>
                <w:color w:val="auto"/>
                <w:w w:val="96"/>
              </w:rPr>
              <w:t>By: /s/Eliot Horowitz</w:t>
            </w:r>
          </w:p>
        </w:tc>
      </w:tr>
      <w:tr>
        <w:trPr>
          <w:trHeight w:val="20"/>
        </w:trPr>
        <w:tc>
          <w:tcPr>
            <w:tcW w:w="3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w w:val="96"/>
              </w:rPr>
              <w:t>Eliot Horowitz</w:t>
            </w:r>
          </w:p>
        </w:tc>
      </w:tr>
    </w:tbl>
    <w:p>
      <w:pPr>
        <w:spacing w:after="0" w:line="1" w:lineRule="exact"/>
        <w:rPr>
          <w:sz w:val="20"/>
          <w:szCs w:val="20"/>
          <w:color w:val="auto"/>
        </w:rPr>
      </w:pPr>
    </w:p>
    <w:sectPr>
      <w:pgSz w:w="11900" w:h="16838" w:orient="portrait"/>
      <w:cols w:equalWidth="0" w:num="1">
        <w:col w:w="11120"/>
      </w:cols>
      <w:pgMar w:left="160" w:top="5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3"/>
    </w:lvl>
  </w:abstractNum>
  <w:abstractNum w:abstractNumId="4">
    <w:nsid w:val="41B71EFB"/>
    <w:multiLevelType w:val="hybridMultilevel"/>
    <w:lvl w:ilvl="0">
      <w:lvlJc w:val="left"/>
      <w:lvlText w:val="(%1)"/>
      <w:numFmt w:val="lowerLetter"/>
      <w:start w:val="4"/>
    </w:lvl>
  </w:abstractNum>
  <w:abstractNum w:abstractNumId="5">
    <w:nsid w:val="79E2A9E3"/>
    <w:multiLevelType w:val="hybridMultilevel"/>
    <w:lvl w:ilvl="0">
      <w:lvlJc w:val="left"/>
      <w:lvlText w:val="(%1)"/>
      <w:numFmt w:val="lowerLetter"/>
      <w:start w:val="5"/>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2019-12-15T16:51:46Z</dcterms:created>
  <dcterms:modified xsi:type="dcterms:W3CDTF">2019-12-15T16:51:46Z</dcterms:modified>
</cp:coreProperties>
</file>