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02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Killalea Peter Thomas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40" w:type="dxa"/>
            <w:vAlign w:val="bottom"/>
            <w:tcBorders>
              <w:top w:val="single" w:sz="8" w:color="0000EE"/>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10/18/2017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MongoDB,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MDB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MONGODB,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229 WEST 43RD STREET, 5TH FLOOR</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20" w:type="dxa"/>
            <w:vAlign w:val="bottom"/>
          </w:tcPr>
          <w:p>
            <w:pPr>
              <w:ind w:left="820"/>
              <w:spacing w:after="0"/>
              <w:rPr>
                <w:sz w:val="20"/>
                <w:szCs w:val="20"/>
                <w:color w:val="auto"/>
              </w:rPr>
            </w:pPr>
            <w:r>
              <w:rPr>
                <w:rFonts w:ascii="Arial" w:cs="Arial" w:eastAsia="Arial" w:hAnsi="Arial"/>
                <w:sz w:val="18"/>
                <w:szCs w:val="18"/>
                <w:color w:val="0000FF"/>
              </w:rPr>
              <w:t>0</w:t>
            </w:r>
          </w:p>
        </w:tc>
        <w:tc>
          <w:tcPr>
            <w:tcW w:w="740" w:type="dxa"/>
            <w:vAlign w:val="bottom"/>
          </w:tcPr>
          <w:p>
            <w:pPr>
              <w:ind w:left="4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275"/>
              <w:spacing w:after="0"/>
              <w:rPr>
                <w:sz w:val="20"/>
                <w:szCs w:val="20"/>
                <w:color w:val="auto"/>
              </w:rPr>
            </w:pPr>
            <w:r>
              <w:rPr>
                <w:rFonts w:ascii="Arial" w:cs="Arial" w:eastAsia="Arial" w:hAnsi="Arial"/>
                <w:sz w:val="11"/>
                <w:szCs w:val="11"/>
                <w:color w:val="008000"/>
              </w:rPr>
              <w:t>(1)</w:t>
            </w:r>
          </w:p>
        </w:tc>
        <w:tc>
          <w:tcPr>
            <w:tcW w:w="2020" w:type="dxa"/>
            <w:vAlign w:val="bottom"/>
          </w:tcPr>
          <w:p>
            <w:pPr>
              <w:ind w:left="200"/>
              <w:spacing w:after="0"/>
              <w:rPr>
                <w:sz w:val="20"/>
                <w:szCs w:val="20"/>
                <w:color w:val="auto"/>
              </w:rPr>
            </w:pPr>
            <w:r>
              <w:rPr>
                <w:rFonts w:ascii="Arial" w:cs="Arial" w:eastAsia="Arial" w:hAnsi="Arial"/>
                <w:sz w:val="18"/>
                <w:szCs w:val="18"/>
                <w:color w:val="0000FF"/>
                <w:w w:val="94"/>
              </w:rPr>
              <w:t>Class A Common Stock</w:t>
            </w:r>
          </w:p>
        </w:tc>
        <w:tc>
          <w:tcPr>
            <w:tcW w:w="740" w:type="dxa"/>
            <w:vAlign w:val="bottom"/>
          </w:tcPr>
          <w:p>
            <w:pPr>
              <w:ind w:left="160"/>
              <w:spacing w:after="0"/>
              <w:rPr>
                <w:sz w:val="20"/>
                <w:szCs w:val="20"/>
                <w:color w:val="auto"/>
              </w:rPr>
            </w:pPr>
            <w:r>
              <w:rPr>
                <w:rFonts w:ascii="Arial" w:cs="Arial" w:eastAsia="Arial" w:hAnsi="Arial"/>
                <w:sz w:val="18"/>
                <w:szCs w:val="18"/>
                <w:color w:val="0000FF"/>
              </w:rPr>
              <w:t>42,687</w:t>
            </w:r>
          </w:p>
        </w:tc>
        <w:tc>
          <w:tcPr>
            <w:tcW w:w="880" w:type="dxa"/>
            <w:vAlign w:val="bottom"/>
          </w:tcPr>
          <w:p>
            <w:pPr>
              <w:jc w:val="right"/>
              <w:ind w:right="311"/>
              <w:spacing w:after="0"/>
              <w:rPr>
                <w:sz w:val="20"/>
                <w:szCs w:val="20"/>
                <w:color w:val="auto"/>
              </w:rPr>
            </w:pPr>
            <w:r>
              <w:rPr>
                <w:rFonts w:ascii="Arial" w:cs="Arial" w:eastAsia="Arial" w:hAnsi="Arial"/>
                <w:sz w:val="11"/>
                <w:szCs w:val="11"/>
                <w:color w:val="008000"/>
              </w:rPr>
              <w:t>(1)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right"/>
              <w:ind w:right="15"/>
              <w:spacing w:after="0"/>
              <w:rPr>
                <w:sz w:val="20"/>
                <w:szCs w:val="20"/>
                <w:color w:val="auto"/>
              </w:rPr>
            </w:pPr>
            <w:r>
              <w:rPr>
                <w:rFonts w:ascii="Arial" w:cs="Arial" w:eastAsia="Arial" w:hAnsi="Arial"/>
                <w:sz w:val="14"/>
                <w:szCs w:val="14"/>
                <w:color w:val="0000FF"/>
                <w:w w:val="99"/>
              </w:rPr>
              <w:t>12/03/2025</w:t>
            </w:r>
          </w:p>
        </w:tc>
        <w:tc>
          <w:tcPr>
            <w:tcW w:w="2020" w:type="dxa"/>
            <w:vAlign w:val="bottom"/>
          </w:tcPr>
          <w:p>
            <w:pPr>
              <w:ind w:left="200"/>
              <w:spacing w:after="0"/>
              <w:rPr>
                <w:sz w:val="20"/>
                <w:szCs w:val="20"/>
                <w:color w:val="auto"/>
              </w:rPr>
            </w:pPr>
            <w:r>
              <w:rPr>
                <w:rFonts w:ascii="Arial" w:cs="Arial" w:eastAsia="Arial" w:hAnsi="Arial"/>
                <w:sz w:val="18"/>
                <w:szCs w:val="18"/>
                <w:color w:val="0000FF"/>
                <w:w w:val="94"/>
              </w:rPr>
              <w:t>Class B Common Stock</w:t>
            </w:r>
          </w:p>
        </w:tc>
        <w:tc>
          <w:tcPr>
            <w:tcW w:w="740" w:type="dxa"/>
            <w:vAlign w:val="bottom"/>
          </w:tcPr>
          <w:p>
            <w:pPr>
              <w:ind w:left="160"/>
              <w:spacing w:after="0"/>
              <w:rPr>
                <w:sz w:val="20"/>
                <w:szCs w:val="20"/>
                <w:color w:val="auto"/>
              </w:rPr>
            </w:pPr>
            <w:r>
              <w:rPr>
                <w:rFonts w:ascii="Arial" w:cs="Arial" w:eastAsia="Arial" w:hAnsi="Arial"/>
                <w:sz w:val="18"/>
                <w:szCs w:val="18"/>
                <w:color w:val="0000FF"/>
              </w:rPr>
              <w:t>50,000</w:t>
            </w:r>
          </w:p>
        </w:tc>
        <w:tc>
          <w:tcPr>
            <w:tcW w:w="880" w:type="dxa"/>
            <w:vAlign w:val="bottom"/>
          </w:tcPr>
          <w:p>
            <w:pPr>
              <w:jc w:val="right"/>
              <w:ind w:right="251"/>
              <w:spacing w:after="0"/>
              <w:rPr>
                <w:sz w:val="20"/>
                <w:szCs w:val="20"/>
                <w:color w:val="auto"/>
              </w:rPr>
            </w:pPr>
            <w:r>
              <w:rPr>
                <w:rFonts w:ascii="Arial" w:cs="Arial" w:eastAsia="Arial" w:hAnsi="Arial"/>
                <w:sz w:val="18"/>
                <w:szCs w:val="18"/>
                <w:color w:val="0000FF"/>
              </w:rPr>
              <w:t>6.5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0" w:firstLine="9"/>
        <w:spacing w:after="0" w:line="228"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share of Class B Common Stock is convertible at any time at the option of the Reporting Person into one share of Class A Common Stock and has no expiration date. Upon the closing of the Issuer's sale of its Class A Common Stock in its firm commitment underwritten initial public offering pursuant to its registration statement on Form S-1 (File No. 333-220557) under the Securities Act of 1933, as amended, the Class B Common Stock will convert automatically into Class A Common Stock on the same basis upon the earlier of: (i) any transfer, whether or not for value, except for certain "Permitted Transfers" as defined in the Issuer's restated certificate of incorporation, and (ii) at such time as the outstanding shares of Class B common stock represent less than 10% of the aggregate number of shares of the Issuer's capital stock outstanding.</w:t>
      </w:r>
    </w:p>
    <w:p>
      <w:pPr>
        <w:spacing w:after="0" w:line="32" w:lineRule="exact"/>
        <w:rPr>
          <w:rFonts w:ascii="Arial" w:cs="Arial" w:eastAsia="Arial" w:hAnsi="Arial"/>
          <w:sz w:val="14"/>
          <w:szCs w:val="14"/>
          <w:color w:val="008000"/>
        </w:rPr>
      </w:pPr>
    </w:p>
    <w:p>
      <w:pPr>
        <w:ind w:left="40" w:right="200" w:firstLine="9"/>
        <w:spacing w:after="0" w:line="29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All shares underlying this option are immediately exercisable, subject to a repurchase right in the Issuer's favor which lapses in accordance with the option's vesting schedule. 22,916 shares are vested. The remaining shares shall vest in 26 equal monthly installments beginning on November 1, 2017, subject to the Reporting Person providing continuous service to the Issuer on each such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/s/Alison Haggerty,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10/18/2017</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Executing Form ID and Forms 3, 4 and 5)</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Andrew Stephens and Sarah Ward of MongoDB, Inc. (the "Company") and Nicole Brookshire and Alison Haggerty of Cooley LLP with full power of substitution, signing individually, the undersigned's true and lawful attorneys-in fact and agents to:</w:t>
      </w:r>
    </w:p>
    <w:p>
      <w:pPr>
        <w:spacing w:after="0" w:line="209" w:lineRule="exact"/>
        <w:rPr>
          <w:sz w:val="20"/>
          <w:szCs w:val="20"/>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the Securities and Exchange Commission (the "SEC") Form ID and</w:t>
      </w:r>
    </w:p>
    <w:p>
      <w:pPr>
        <w:spacing w:after="0" w:line="5" w:lineRule="exact"/>
        <w:rPr>
          <w:rFonts w:ascii="Courier New" w:cs="Courier New" w:eastAsia="Courier New" w:hAnsi="Courier New"/>
          <w:sz w:val="18"/>
          <w:szCs w:val="18"/>
          <w:color w:val="auto"/>
        </w:rPr>
      </w:pPr>
    </w:p>
    <w:p>
      <w:pPr>
        <w:ind w:right="19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Forms 3, 4 and 5 (including amendments thereto and joint filing agreements in connection therewith) in accordance with Section 16(a) of the Securities Exchange Act of 1934, as amended (the "Exchange Act") and the rules thereunder in the undersigned's capacity as an officer, director or beneficial owner of more than 10% of a registered class of securities of the Company;</w:t>
      </w:r>
    </w:p>
    <w:p>
      <w:pPr>
        <w:spacing w:after="0" w:line="184" w:lineRule="exact"/>
        <w:rPr>
          <w:rFonts w:ascii="Courier New" w:cs="Courier New" w:eastAsia="Courier New" w:hAnsi="Courier New"/>
          <w:sz w:val="18"/>
          <w:szCs w:val="18"/>
          <w:color w:val="auto"/>
        </w:rPr>
      </w:pPr>
    </w:p>
    <w:p>
      <w:pPr>
        <w:ind w:right="8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prepare and execute any such Form ID and Forms</w:t>
      </w:r>
    </w:p>
    <w:p>
      <w:pPr>
        <w:spacing w:after="0" w:line="5" w:lineRule="exact"/>
        <w:rPr>
          <w:rFonts w:ascii="Courier New" w:cs="Courier New" w:eastAsia="Courier New" w:hAnsi="Courier New"/>
          <w:sz w:val="18"/>
          <w:szCs w:val="18"/>
          <w:color w:val="auto"/>
        </w:rPr>
      </w:pPr>
    </w:p>
    <w:p>
      <w:pPr>
        <w:ind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or 5 (including amendments thereto and joint filing agreements in connection therewith) and timely file such forms with the SEC and any stock exchange, self-regulatory association or any similar authority; and</w:t>
      </w:r>
    </w:p>
    <w:p>
      <w:pPr>
        <w:spacing w:after="0" w:line="208" w:lineRule="exact"/>
        <w:rPr>
          <w:rFonts w:ascii="Courier New" w:cs="Courier New" w:eastAsia="Courier New" w:hAnsi="Courier New"/>
          <w:sz w:val="18"/>
          <w:szCs w:val="18"/>
          <w:color w:val="auto"/>
        </w:rPr>
      </w:pPr>
    </w:p>
    <w:p>
      <w:pPr>
        <w:ind w:right="14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that, in the opinion of such attorney-in-fact, may be of benefit to,</w:t>
      </w: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9"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391" w:lineRule="exact"/>
        <w:rPr>
          <w:sz w:val="20"/>
          <w:szCs w:val="20"/>
          <w:color w:val="auto"/>
        </w:rPr>
      </w:pPr>
    </w:p>
    <w:p>
      <w:pPr>
        <w:ind w:right="1039" w:firstLine="843"/>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the earliest to occur of (a) the undersigned is no longer required to file Forms 3, 4 and 5</w:t>
      </w:r>
    </w:p>
    <w:p>
      <w:pPr>
        <w:ind w:right="1779"/>
        <w:spacing w:after="0" w:line="273" w:lineRule="auto"/>
        <w:rPr>
          <w:sz w:val="20"/>
          <w:szCs w:val="20"/>
          <w:color w:val="auto"/>
        </w:rPr>
      </w:pPr>
      <w:r>
        <w:rPr>
          <w:rFonts w:ascii="Courier New" w:cs="Courier New" w:eastAsia="Courier New" w:hAnsi="Courier New"/>
          <w:sz w:val="16"/>
          <w:szCs w:val="16"/>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any of its subsidiaries, or Cooley LLP, as applicable.</w:t>
      </w:r>
    </w:p>
    <w:p>
      <w:pPr>
        <w:spacing w:after="0" w:line="185"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3, 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/s/Peter Thomas Killalea</w:t>
      </w:r>
    </w:p>
    <w:p>
      <w:pPr>
        <w:ind w:left="120"/>
        <w:spacing w:after="0" w:line="238" w:lineRule="auto"/>
        <w:rPr>
          <w:sz w:val="20"/>
          <w:szCs w:val="20"/>
          <w:color w:val="auto"/>
        </w:rPr>
      </w:pPr>
      <w:r>
        <w:rPr>
          <w:rFonts w:ascii="Courier New" w:cs="Courier New" w:eastAsia="Courier New" w:hAnsi="Courier New"/>
          <w:sz w:val="18"/>
          <w:szCs w:val="18"/>
          <w:color w:val="auto"/>
        </w:rPr>
        <w:t>Peter Thomas Killalea</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38728" TargetMode="External"/><Relationship Id="rId12"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2019-12-04T02:00:24Z</dcterms:created>
  <dcterms:modified xsi:type="dcterms:W3CDTF">2019-12-04T02:00:24Z</dcterms:modified>
</cp:coreProperties>
</file>