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September 1,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1, 2026, MongoDB, Inc. (the “Company”) issued a press release announcing its financial results for the three and six months ended July 31, 2026. A copy of the press release is furnished as Exhibit 99.1 to this Current Report on Form 8</w:t>
        <w:noBreakHyphen/>
        <w:t>K and is incorporated herein by reference.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7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456"/>
        <w:gridCol w:w="2456"/>
        <w:gridCol w:w="347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mdb-073126xex991xrelease.htm">
              <w:r>
                <w:rPr>
                  <w:rStyle w:val="InternetLink"/>
                  <w:rFonts w:ascii="Times New Roman;serif" w:hAnsi="Times New Roman;serif"/>
                  <w:b w:val="false"/>
                  <w:color w:val="000080"/>
                  <w:sz w:val="20"/>
                  <w:u w:val="single"/>
                </w:rPr>
                <w:t xml:space="preserve">Press Release, dated </w:t>
              </w:r>
            </w:hyperlink>
            <w:hyperlink w:anchor="mdb-073126xex991xrelease.htm">
              <w:r>
                <w:rPr>
                  <w:rStyle w:val="InternetLink"/>
                  <w:rFonts w:ascii="Times New Roman;serif" w:hAnsi="Times New Roman;serif"/>
                  <w:b w:val="false"/>
                  <w:color w:val="000080"/>
                  <w:sz w:val="20"/>
                  <w:u w:val="single"/>
                </w:rPr>
                <w:t>September</w:t>
              </w:r>
            </w:hyperlink>
            <w:hyperlink w:anchor="mdb-073126xex991xrelease.htm">
              <w:r>
                <w:rPr>
                  <w:rStyle w:val="InternetLink"/>
                  <w:rFonts w:ascii="Times New Roman;serif" w:hAnsi="Times New Roman;serif"/>
                  <w:b w:val="false"/>
                  <w:color w:val="000080"/>
                  <w:sz w:val="20"/>
                  <w:u w:val="single"/>
                </w:rPr>
                <w:t xml:space="preserve"> </w:t>
              </w:r>
            </w:hyperlink>
            <w:hyperlink w:anchor="mdb-073126xex991xrelease.htm">
              <w:r>
                <w:rPr>
                  <w:rStyle w:val="InternetLink"/>
                  <w:rFonts w:ascii="Times New Roman;serif" w:hAnsi="Times New Roman;serif"/>
                  <w:b w:val="false"/>
                  <w:color w:val="000080"/>
                  <w:sz w:val="20"/>
                  <w:u w:val="single"/>
                </w:rPr>
                <w:t>1</w:t>
              </w:r>
            </w:hyperlink>
            <w:hyperlink w:anchor="mdb-073126xex991xrelease.htm">
              <w:r>
                <w:rPr>
                  <w:rStyle w:val="InternetLink"/>
                  <w:rFonts w:ascii="Times New Roman;serif" w:hAnsi="Times New Roman;serif"/>
                  <w:b w:val="false"/>
                  <w:color w:val="000080"/>
                  <w:sz w:val="20"/>
                  <w:u w:val="single"/>
                </w:rPr>
                <w:t xml:space="preserve">, 2026, reporting financial results for the quarter ended </w:t>
              </w:r>
            </w:hyperlink>
            <w:hyperlink w:anchor="mdb-073126xex991xrelease.htm">
              <w:r>
                <w:rPr>
                  <w:rStyle w:val="InternetLink"/>
                  <w:rFonts w:ascii="Times New Roman;serif" w:hAnsi="Times New Roman;serif"/>
                  <w:b w:val="false"/>
                  <w:color w:val="000080"/>
                  <w:sz w:val="20"/>
                  <w:u w:val="single"/>
                </w:rPr>
                <w:t>July</w:t>
              </w:r>
            </w:hyperlink>
            <w:hyperlink w:anchor="mdb-073126xex991xrelease.htm">
              <w:r>
                <w:rPr>
                  <w:rStyle w:val="InternetLink"/>
                  <w:rFonts w:ascii="Times New Roman;serif" w:hAnsi="Times New Roman;serif"/>
                  <w:b w:val="false"/>
                  <w:color w:val="000080"/>
                  <w:sz w:val="20"/>
                  <w:u w:val="single"/>
                </w:rPr>
                <w:t xml:space="preserve"> 3</w:t>
              </w:r>
            </w:hyperlink>
            <w:hyperlink w:anchor="mdb-073126xex991xrelease.htm">
              <w:r>
                <w:rPr>
                  <w:rStyle w:val="InternetLink"/>
                  <w:rFonts w:ascii="Times New Roman;serif" w:hAnsi="Times New Roman;serif"/>
                  <w:b w:val="false"/>
                  <w:color w:val="000080"/>
                  <w:sz w:val="20"/>
                  <w:u w:val="single"/>
                </w:rPr>
                <w:t>1</w:t>
              </w:r>
            </w:hyperlink>
            <w:hyperlink w:anchor="mdb-073126xex991xrelease.htm">
              <w:r>
                <w:rPr>
                  <w:rStyle w:val="InternetLink"/>
                  <w:rFonts w:ascii="Times New Roman;serif" w:hAnsi="Times New Roman;serif"/>
                  <w:b w:val="false"/>
                  <w:color w:val="000080"/>
                  <w:sz w:val="20"/>
                  <w:u w:val="single"/>
                </w:rPr>
                <w:t>,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529" w:type="dxa"/>
        <w:jc w:val="center"/>
        <w:tblInd w:w="0" w:type="dxa"/>
        <w:tblLayout w:type="fixed"/>
        <w:tblCellMar>
          <w:top w:w="28" w:type="dxa"/>
          <w:left w:w="28" w:type="dxa"/>
          <w:bottom w:w="28" w:type="dxa"/>
          <w:right w:w="28" w:type="dxa"/>
        </w:tblCellMar>
      </w:tblPr>
      <w:tblGrid>
        <w:gridCol w:w="1000"/>
        <w:gridCol w:w="878"/>
        <w:gridCol w:w="882"/>
        <w:gridCol w:w="175"/>
        <w:gridCol w:w="175"/>
        <w:gridCol w:w="175"/>
        <w:gridCol w:w="175"/>
        <w:gridCol w:w="175"/>
        <w:gridCol w:w="175"/>
        <w:gridCol w:w="1070"/>
        <w:gridCol w:w="1070"/>
        <w:gridCol w:w="157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Dated: September 1,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Chirantan J. Desai</w:t>
              <w:br/>
            </w:r>
            <w:r>
              <w:rPr>
                <w:rFonts w:ascii="Times New Roman;serif" w:hAnsi="Times New Roman;serif"/>
                <w:b/>
                <w:color w:val="000000"/>
                <w:sz w:val="20"/>
              </w:rPr>
              <w:t xml:space="preserve">Title: </w:t>
            </w:r>
            <w:r>
              <w:rPr>
                <w:rFonts w:ascii="Times New Roman;serif" w:hAnsi="Times New Roman;serif"/>
                <w:b w:val="false"/>
                <w:color w:val="000000"/>
                <w:sz w:val="20"/>
              </w:rPr>
              <w:t>President and Chief Executive Officer</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300"/>
        <w:jc w:val="center"/>
        <w:rPr>
          <w:rFonts w:ascii="Times New Roman;serif" w:hAnsi="Times New Roman;serif"/>
          <w:b/>
          <w:color w:val="000000"/>
          <w:sz w:val="26"/>
        </w:rPr>
      </w:pPr>
      <w:r>
        <w:rPr>
          <w:rFonts w:ascii="Times New Roman;serif" w:hAnsi="Times New Roman;serif"/>
          <w:b/>
          <w:color w:val="000000"/>
          <w:sz w:val="26"/>
        </w:rPr>
        <w:t>MongoDB, Inc. Announces Second Quarter Fiscal 2027 Financial Results</w:t>
      </w:r>
    </w:p>
    <w:p>
      <w:pPr>
        <w:pStyle w:val="TextBody"/>
        <w:bidi w:val="0"/>
        <w:spacing w:lineRule="auto" w:line="288" w:before="0" w:after="120"/>
        <w:jc w:val="center"/>
        <w:rPr/>
      </w:pPr>
      <w:r>
        <w:rPr>
          <w:rFonts w:ascii="Times New Roman;serif" w:hAnsi="Times New Roman;serif"/>
          <w:b/>
          <w:i/>
          <w:color w:val="000000"/>
          <w:sz w:val="22"/>
        </w:rPr>
        <w:t>Second quarter fiscal 2027 total revenue of $771.8 million, up 30%</w:t>
      </w:r>
      <w:r>
        <w:rPr>
          <w:color w:val="000000"/>
        </w:rPr>
        <w:t xml:space="preserve"> </w:t>
      </w:r>
      <w:r>
        <w:rPr>
          <w:rFonts w:ascii="Times New Roman;serif" w:hAnsi="Times New Roman;serif"/>
          <w:b/>
          <w:i/>
          <w:color w:val="000000"/>
          <w:sz w:val="22"/>
        </w:rPr>
        <w:t>year-over-year</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Atlas revenue up approximately 29% year-over-year in the second quarter fiscal 2027</w:t>
      </w:r>
    </w:p>
    <w:p>
      <w:pPr>
        <w:pStyle w:val="TextBody"/>
        <w:bidi w:val="0"/>
        <w:spacing w:lineRule="auto" w:line="288" w:before="0" w:after="120"/>
        <w:jc w:val="center"/>
        <w:rPr/>
      </w:pPr>
      <w:r>
        <w:rPr>
          <w:rFonts w:ascii="Times New Roman;serif" w:hAnsi="Times New Roman;serif"/>
          <w:b/>
          <w:i/>
          <w:color w:val="000000"/>
          <w:sz w:val="22"/>
        </w:rPr>
        <w:t>EA &amp; other revenue up approximately 36%</w:t>
      </w:r>
      <w:r>
        <w:rPr>
          <w:color w:val="000000"/>
        </w:rPr>
        <w:t xml:space="preserve"> </w:t>
      </w:r>
      <w:r>
        <w:rPr>
          <w:rFonts w:ascii="Times New Roman;serif" w:hAnsi="Times New Roman;serif"/>
          <w:b/>
          <w:i/>
          <w:color w:val="000000"/>
          <w:sz w:val="22"/>
        </w:rPr>
        <w:t>year-over-year in the second quarter fiscal 2027</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Raising full year fiscal 2027 guidance, with H2 raise mainly due to Atlas</w:t>
      </w:r>
    </w:p>
    <w:p>
      <w:pPr>
        <w:pStyle w:val="TextBody"/>
        <w:bidi w:val="0"/>
        <w:spacing w:lineRule="auto" w:line="288" w:before="0" w:after="180"/>
        <w:jc w:val="left"/>
        <w:rPr/>
      </w:pPr>
      <w:r>
        <w:rPr>
          <w:rFonts w:ascii="Times New Roman;serif" w:hAnsi="Times New Roman;serif"/>
          <w:b/>
          <w:color w:val="000000"/>
          <w:sz w:val="22"/>
        </w:rPr>
        <w:t>NEW YORK - September 1, 2026 -</w:t>
      </w:r>
      <w:r>
        <w:rPr>
          <w:color w:val="000000"/>
        </w:rPr>
        <w:t xml:space="preserve"> </w:t>
      </w:r>
      <w:r>
        <w:rPr>
          <w:rFonts w:ascii="Times New Roman;serif" w:hAnsi="Times New Roman;serif"/>
          <w:b w:val="false"/>
          <w:color w:val="000000"/>
          <w:sz w:val="22"/>
        </w:rPr>
        <w:t>MongoDB, Inc. (NASDAQ: MDB) today announced its financial results for the second quarter ended July 31, 2026.</w:t>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We delivered strong second quarter results, highlighted by 30% year-over-year revenue growth—the highest level of growth in several years—and continued strong profitability. This performance reflects the mission-critical role our platform plays for customers, with strength driven by core enterprise workloads and early momentum with AI use cases. That strength spans our run anywhere strategy across both Atlas and Enterprise Advanced, highlighting the power of our data platform. This gives us the confidence to raise our full year fiscal 2027 guidance,” said CJ Desai, President and Chief Executive Officer of MongoDB.</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Looking ahead, we're emerging as the intelligent data platform for the AI era—launching powerful retrieval innovations, simplifying how developers connect coding agents to their operational data on MongoDB, and reinforcing our position as the only modern data platform that extends seamlessly from self-managed to any cloud for production applications. These investments sharpen our focus on mission-critical capabilities, giving us high confidence in our ability to drive durable growth.”</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Our second quarter results reflect very strong and growing operating leverage in our business,” said Mike Berry, Chief Financial Officer of MongoDB. “We delivered a non-GAAP operating margin of 24%, up significantly from 15% a year ago, while free cash flow nearly doubled year-over-year to $137.6 million. We’re also pleased to report our third consecutive quarter of GAAP EPS profitability, highlighting our disciplined approach to driving long-term shareholder value.”</w:t>
      </w:r>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Second Quarter Fiscal 2027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Revenue: </w:t>
      </w:r>
      <w:r>
        <w:rPr>
          <w:rFonts w:ascii="Times New Roman;serif" w:hAnsi="Times New Roman;serif"/>
          <w:b w:val="false"/>
          <w:color w:val="000000"/>
          <w:sz w:val="22"/>
        </w:rPr>
        <w:t>Total revenue was $771.8 million for the second quarter of fiscal 2027, an increase of 30% year-over-year. Subscription revenue was $747.1 million, an increase of 31% year-over-year, and services revenue was $24.6 million, an increase of 29% year-over-year.</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Gross Profit: </w:t>
      </w:r>
      <w:r>
        <w:rPr>
          <w:rFonts w:ascii="Times New Roman;serif" w:hAnsi="Times New Roman;serif"/>
          <w:b w:val="false"/>
          <w:color w:val="000000"/>
          <w:sz w:val="22"/>
        </w:rPr>
        <w:t xml:space="preserve">Gross profit was $569.8 million for the second quarter of fiscal 2027, representing a </w:t>
      </w:r>
      <w:r>
        <w:rPr>
          <w:rFonts w:ascii="Times New Roman;serif" w:hAnsi="Times New Roman;serif"/>
          <w:b w:val="false"/>
          <w:color w:val="000000"/>
          <w:sz w:val="20"/>
        </w:rPr>
        <w:t>74%</w:t>
      </w:r>
      <w:r>
        <w:rPr>
          <w:color w:val="000000"/>
        </w:rPr>
        <w:t xml:space="preserve"> </w:t>
      </w:r>
      <w:r>
        <w:rPr>
          <w:rFonts w:ascii="Times New Roman;serif" w:hAnsi="Times New Roman;serif"/>
          <w:b w:val="false"/>
          <w:color w:val="000000"/>
          <w:sz w:val="22"/>
        </w:rPr>
        <w:t xml:space="preserve">gross margin compared to 71% in the year-ago period. Non-GAAP gross profit was $585.7 million, representing a </w:t>
      </w:r>
      <w:r>
        <w:rPr>
          <w:rFonts w:ascii="Times New Roman;serif" w:hAnsi="Times New Roman;serif"/>
          <w:b w:val="false"/>
          <w:color w:val="000000"/>
          <w:sz w:val="20"/>
        </w:rPr>
        <w:t>76%</w:t>
      </w:r>
      <w:r>
        <w:rPr>
          <w:color w:val="000000"/>
        </w:rPr>
        <w:t xml:space="preserve"> </w:t>
      </w:r>
      <w:r>
        <w:rPr>
          <w:rFonts w:ascii="Times New Roman;serif" w:hAnsi="Times New Roman;serif"/>
          <w:b w:val="false"/>
          <w:color w:val="000000"/>
          <w:sz w:val="22"/>
        </w:rPr>
        <w:t xml:space="preserve">non-GAAP gross margin, compared to non-GAAP gross margin of </w:t>
      </w:r>
      <w:r>
        <w:rPr>
          <w:rFonts w:ascii="Times New Roman;serif" w:hAnsi="Times New Roman;serif"/>
          <w:b w:val="false"/>
          <w:color w:val="000000"/>
          <w:sz w:val="20"/>
        </w:rPr>
        <w:t>74% in the year-ago period</w:t>
      </w:r>
      <w:r>
        <w:rPr>
          <w:rFonts w:ascii="Times New Roman;serif" w:hAnsi="Times New Roman;serif"/>
          <w:b w:val="false"/>
          <w:color w:val="000000"/>
          <w:sz w:val="22"/>
        </w:rPr>
        <w: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Income (Loss) from Operations:</w:t>
      </w:r>
      <w:r>
        <w:rPr>
          <w:color w:val="000000"/>
        </w:rPr>
        <w:t xml:space="preserve"> </w:t>
      </w:r>
      <w:r>
        <w:rPr>
          <w:rFonts w:ascii="Times New Roman;serif" w:hAnsi="Times New Roman;serif"/>
          <w:b w:val="false"/>
          <w:color w:val="000000"/>
          <w:sz w:val="22"/>
        </w:rPr>
        <w:t>Income from operations was $28.4 million for the second quarter of fiscal 2027, compared to a loss from operations of $65.3 million in the year-ago period. Non-GAAP income from operations was $185.9 million, compared to non-GAAP income from operations of $86.8 million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Net Income (Loss):</w:t>
      </w:r>
      <w:r>
        <w:rPr>
          <w:color w:val="000000"/>
        </w:rPr>
        <w:t xml:space="preserve"> </w:t>
      </w:r>
      <w:r>
        <w:rPr>
          <w:rFonts w:ascii="Times New Roman;serif" w:hAnsi="Times New Roman;serif"/>
          <w:b w:val="false"/>
          <w:color w:val="000000"/>
          <w:sz w:val="22"/>
        </w:rPr>
        <w:t xml:space="preserve">Net income was $40.9 million, or $0.50 per share, based on 82.0 million diluted weighted-average shares outstanding, for the second quarter of fiscal 2027. This compares to a net loss of $47.0 million, or $0.58 per share, based on 81.1 million basic and diluted weighted-average shares outstanding in the year-ago period. Non-GAAP net income was $162.6 million, or </w:t>
      </w:r>
      <w:r>
        <w:rPr>
          <w:rFonts w:ascii="Times New Roman;serif" w:hAnsi="Times New Roman;serif"/>
          <w:b w:val="false"/>
          <w:color w:val="000000"/>
          <w:sz w:val="22"/>
          <w:shd w:fill="FFFFFF" w:val="clear"/>
        </w:rPr>
        <w:t>$1.90</w:t>
      </w:r>
      <w:r>
        <w:rPr>
          <w:color w:val="000000"/>
        </w:rPr>
        <w:t xml:space="preserve"> </w:t>
      </w:r>
      <w:r>
        <w:rPr>
          <w:rFonts w:ascii="Times New Roman;serif" w:hAnsi="Times New Roman;serif"/>
          <w:b w:val="false"/>
          <w:color w:val="000000"/>
          <w:sz w:val="22"/>
        </w:rPr>
        <w:t>per share, based on 85.8 million fully diluted weighted-average shares outstanding. This compares to a non-GAAP net income of $87.2 million, or $1.00 per share, based on 87.1 million fully diluted weighted-average shares outstanding in the year-ago period.</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Remaining Performance Obligations (“RPO”):</w:t>
      </w:r>
      <w:r>
        <w:rPr>
          <w:color w:val="000000"/>
        </w:rPr>
        <w:t xml:space="preserve"> </w:t>
      </w:r>
      <w:r>
        <w:rPr>
          <w:rFonts w:ascii="Times New Roman;serif" w:hAnsi="Times New Roman;serif"/>
          <w:b w:val="false"/>
          <w:color w:val="000000"/>
          <w:sz w:val="22"/>
        </w:rPr>
        <w:t>RPO was $1,519.2 million, an increase of 91% year-over-year. Current Remaining Performance Obligations (“cRPO”) was $797.3 million, an increase of 73% year-over-year.</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2"/>
        </w:rPr>
        <w:t>Cash Flow:</w:t>
      </w:r>
      <w:r>
        <w:rPr>
          <w:color w:val="000000"/>
        </w:rPr>
        <w:t xml:space="preserve"> </w:t>
      </w:r>
      <w:r>
        <w:rPr>
          <w:rFonts w:ascii="Times New Roman;serif" w:hAnsi="Times New Roman;serif"/>
          <w:b w:val="false"/>
          <w:color w:val="000000"/>
          <w:sz w:val="22"/>
        </w:rPr>
        <w:t>As of July 31, 2026, MongoDB had $2.4 billion in cash, cash equivalents, short-term investments and restricted cash. During the three months ended July 31, 2026, MongoDB generated $141.9 million of cash from operations, compared to $72.1 million in the year-ago period. MongoDB used $2.5 million of cash in capital expenditures and used $1.8 million of cash in principal payments of finance leases, leading to free cash flow of $137.6 million, compared to $69.9 million in the year-ago period.</w:t>
      </w:r>
    </w:p>
    <w:p>
      <w:pPr>
        <w:pStyle w:val="TextBody"/>
        <w:bidi w:val="0"/>
        <w:spacing w:lineRule="auto" w:line="288" w:before="0" w:after="180"/>
        <w:jc w:val="left"/>
        <w:rPr/>
      </w:pPr>
      <w:r>
        <w:rPr>
          <w:rFonts w:ascii="Times New Roman;serif" w:hAnsi="Times New Roman;serif"/>
          <w:b w:val="false"/>
          <w:i/>
          <w:color w:val="000000"/>
          <w:sz w:val="22"/>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r>
        <w:rPr>
          <w:color w:val="000000"/>
        </w:rPr>
        <w:t xml:space="preserve"> </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Second Quarter Fiscal 2027 Recent Business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Search and Vector Search are now generally available in MongoDB Enterprise Advanced, bringing the retrieval capabilities MongoDB Atlas customers use to build AI applications in the cloud to self-managed, private cloud, and hybrid environments—with the same platform, APIs, and technical skills across deployment models.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launched the Atlas Managed MCP Server at .local San Francisco Build Fest, a fully hosted service that connects coding agents—including Claude Code, Codex, Grok Build, and Devin by Cognition—to live MongoDB Atlas data without requiring customers to deploy or manage additional infrastructure.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announced the general availability of four capabilities that improve AI retrieval in MongoDB Atlas: Automated Embeddings powered by Voyage AI, the Atlas Embedding and Reranking API, voyage-code-4, and Vector Search in Atlas Stream Processing. Together, they help developers build AI applications that can retrieve accurate, up-to-date information from operational and streaming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At MongoDB.local Bengaluru, MongoDB announced plans to upskill two million Indian builders by 2030, expanding the MongoDB for Academia program in India, which has trained more than 650,000 students since 2023. The expansion will help equip the next generation of builders with the cloud, data, and AI skills required to scale India’s digital economy.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MongoDB was named a Leader in The Forrester Wave™: Multimodel Data Platforms, Q2 2026. Forrester reiterated that MongoDB’s robust vision is to be the data platform for the AI era, said that the company’s compelling roadmap advances AI-native capabilities, and noted that MongoDB is investing heavily in AI research and strategic acquisitions to ensure its innovations consistently meet the evolving needs of AI.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Third Quarter Fiscal 2027 Guidance</w:t>
      </w:r>
    </w:p>
    <w:p>
      <w:pPr>
        <w:pStyle w:val="TextBody"/>
        <w:bidi w:val="0"/>
        <w:spacing w:lineRule="auto" w:line="288" w:before="0" w:after="180"/>
        <w:jc w:val="left"/>
        <w:rPr/>
      </w:pPr>
      <w:r>
        <w:rPr>
          <w:rFonts w:ascii="Times New Roman;serif" w:hAnsi="Times New Roman;serif"/>
          <w:b w:val="false"/>
          <w:color w:val="000000"/>
          <w:sz w:val="22"/>
        </w:rPr>
        <w:t xml:space="preserve">Based on information available to management as of today, September 1, 2026, MongoDB is issuing the following financial guidance for the </w:t>
      </w:r>
      <w:r>
        <w:rPr>
          <w:rFonts w:ascii="Times New Roman;serif" w:hAnsi="Times New Roman;serif"/>
          <w:b w:val="false"/>
          <w:color w:val="000000"/>
          <w:sz w:val="20"/>
        </w:rPr>
        <w:t>third</w:t>
      </w:r>
      <w:r>
        <w:rPr>
          <w:color w:val="000000"/>
        </w:rPr>
        <w:t xml:space="preserve"> </w:t>
      </w:r>
      <w:r>
        <w:rPr>
          <w:rFonts w:ascii="Times New Roman;serif" w:hAnsi="Times New Roman;serif"/>
          <w:b w:val="false"/>
          <w:color w:val="000000"/>
          <w:sz w:val="22"/>
        </w:rPr>
        <w:t>quarter fiscal 2027.</w:t>
      </w:r>
    </w:p>
    <w:tbl>
      <w:tblPr>
        <w:tblW w:w="10205" w:type="dxa"/>
        <w:jc w:val="left"/>
        <w:tblInd w:w="0" w:type="dxa"/>
        <w:tblLayout w:type="fixed"/>
        <w:tblCellMar>
          <w:top w:w="28" w:type="dxa"/>
          <w:left w:w="28" w:type="dxa"/>
          <w:bottom w:w="28" w:type="dxa"/>
          <w:right w:w="28" w:type="dxa"/>
        </w:tblCellMar>
      </w:tblPr>
      <w:tblGrid>
        <w:gridCol w:w="1669"/>
        <w:gridCol w:w="1437"/>
        <w:gridCol w:w="1442"/>
        <w:gridCol w:w="811"/>
        <w:gridCol w:w="811"/>
        <w:gridCol w:w="773"/>
        <w:gridCol w:w="236"/>
        <w:gridCol w:w="236"/>
        <w:gridCol w:w="236"/>
        <w:gridCol w:w="745"/>
        <w:gridCol w:w="745"/>
        <w:gridCol w:w="1064"/>
      </w:tblGrid>
      <w:tr>
        <w:trPr/>
        <w:tc>
          <w:tcPr>
            <w:tcW w:w="166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Revenues are expected to be in the range of: </w:t>
            </w:r>
          </w:p>
        </w:tc>
        <w:tc>
          <w:tcPr>
            <w:tcW w:w="56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$756 million to $761 million</w:t>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GAAP</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Non-GAAP</w:t>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 are expected to be in the range of:</w:t>
            </w:r>
          </w:p>
        </w:tc>
        <w:tc>
          <w:tcPr>
            <w:tcW w:w="2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 million to $(10.5) million</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$152.0 million to $156.0 million</w:t>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Share is expected to be in the range of:</w:t>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$0.00 to $0.05</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$1.57 to $1.61</w:t>
            </w:r>
          </w:p>
        </w:tc>
      </w:tr>
    </w:tbl>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Full Year Fiscal 2027 Guidance</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Based on information available to management as of today, September 1, 2026, MongoDB is issuing the following financial guidance for the full year fiscal 2027.</w:t>
      </w:r>
    </w:p>
    <w:tbl>
      <w:tblPr>
        <w:tblW w:w="10205" w:type="dxa"/>
        <w:jc w:val="left"/>
        <w:tblInd w:w="0" w:type="dxa"/>
        <w:tblLayout w:type="fixed"/>
        <w:tblCellMar>
          <w:top w:w="28" w:type="dxa"/>
          <w:left w:w="28" w:type="dxa"/>
          <w:bottom w:w="28" w:type="dxa"/>
          <w:right w:w="28" w:type="dxa"/>
        </w:tblCellMar>
      </w:tblPr>
      <w:tblGrid>
        <w:gridCol w:w="1683"/>
        <w:gridCol w:w="1451"/>
        <w:gridCol w:w="1456"/>
        <w:gridCol w:w="790"/>
        <w:gridCol w:w="790"/>
        <w:gridCol w:w="754"/>
        <w:gridCol w:w="237"/>
        <w:gridCol w:w="237"/>
        <w:gridCol w:w="237"/>
        <w:gridCol w:w="749"/>
        <w:gridCol w:w="749"/>
        <w:gridCol w:w="1072"/>
      </w:tblGrid>
      <w:tr>
        <w:trPr/>
        <w:tc>
          <w:tcPr>
            <w:tcW w:w="168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Revenues are expected to be in the range of: </w:t>
            </w:r>
          </w:p>
        </w:tc>
        <w:tc>
          <w:tcPr>
            <w:tcW w:w="56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$2.99 billion to $3.03 billion</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GAAP</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Non-GAAP</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 are expected to be in the range of:</w:t>
            </w:r>
          </w:p>
        </w:tc>
        <w:tc>
          <w:tcPr>
            <w:tcW w:w="2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$(28.0) million to $(8.0) million</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$616.3 million to $636.3 million</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Share is expected to be in the range of:</w:t>
            </w:r>
          </w:p>
        </w:tc>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$0.53 to $0.77</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$6.39 to $6.58</w:t>
            </w:r>
          </w:p>
        </w:tc>
      </w:tr>
    </w:tbl>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will host a conference call today, September 1, 2026,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the Company encourages participants to dial into the conference call fifteen minutes ahead of the scheduled start time. A replay of the webcast will also be available for a limited time at https://investors.mongodb.com.</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68" w:before="0" w:after="0"/>
        <w:jc w:val="left"/>
        <w:rPr/>
      </w:pPr>
      <w:r>
        <w:rPr>
          <w:rFonts w:ascii="Times New Roman;serif" w:hAnsi="Times New Roman;serif"/>
          <w:b w:val="false"/>
          <w:color w:val="000000"/>
          <w:sz w:val="22"/>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third fiscal quarter and full year fiscal 2027.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the Company has made. Although the Company believes that our plans, intentions, expectations, strategies and prospects as reflected in or suggested by those forward-looking statements are reasonable, the Company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geopolitical instability resulting from the conflict in Iran, the unrest in Mexico, the conflicts between Russia and Ukraine, Israel and Hamas and recent events in Venezuela on our business and future operating results; economic downturns and/or the effects of rising interest rates, inflation and volatility in the global economy and financial markets on our business and future operating results; our ability to remain profitable and grow in a constantly changing market; our potential failure to meet publicly announced guidance or other expectations about our business and future operating results; reputational harm or other adverse consequences resulting from use of artificial intelligence (“AI”) and machine learning (“ML”)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including AI and ML, for both traditional and emerging use cases;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our ability to continue to increase revenue from our Atlas platform; the effects of social, ethical, security and regulatory issues relating to the use of new and evolving technologies, such as AI and ML, in our offerings or partnerships; the possibility that the market for AI-related data infrastructure may not develop as we expect or may favor alternative architectures or competitors;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our ability to integrate acquisitions and work with our strategic partners effectively</w:t>
      </w:r>
      <w:r>
        <w:rPr>
          <w:rFonts w:ascii="Times New Roman;serif" w:hAnsi="Times New Roman;serif"/>
          <w:b w:val="false"/>
          <w:color w:val="008080"/>
          <w:sz w:val="24"/>
        </w:rPr>
        <w:t xml:space="preserve">; </w:t>
      </w:r>
      <w:r>
        <w:rPr>
          <w:rFonts w:ascii="Times New Roman;serif" w:hAnsi="Times New Roman;serif"/>
          <w:b w:val="false"/>
          <w:color w:val="000000"/>
          <w:sz w:val="22"/>
        </w:rPr>
        <w:t>and the price volatility of our common stock. These and other risks and uncertainties are more fully described in our filings with the Securities and Exchange Commission (“SEC”), including under the caption “Risk Factors” in our Quarterly Report on Form 10-Q for the quarter ended April 30, 2026, filed with the SEC on May 29, 2026. Additional information will be made available in our Quarterly Report on Form 10-Q for the quarter ended July 31, 2026, and other filings and reports that the Company may file from time to time with the SEC. Except as required by law, the Company undertakes no duty or obligation to update any forward-looking statements contained in this release as a result of new information, future events, changes in expectations or otherwise.</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non-GAAP net income and non-GAAP net income per share, exclude: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expenses associated with stock-based compensation including employer payroll taxes upon the vesting and exercising of stock-based awards and expenses related to stock appreciation rights previously issued to our employees in China;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amortization of intangible assets for the acquired technology and acquired customer relationships associated with prior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legal costs and settlement fees incurred in connection with non-ordinary course litigation, particularly ongoing securities litigation, which are not considered indicative of core operating performance;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restructuring costs associated with a formal restructuring plan that are primarily related to workforce reductions. The Company excludes these expenses because they are not reflective of ordinary course ongoing business and operating results;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 the case of non-GAAP net income and non-GAAP net income per share, amortization of the debt issuance costs associated with our convertible senior notes and gains or losses on our financial instruments;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additionally, non-GAAP net income and non-GAAP net income per share, are adjusted for an assumed provision for income taxes based on an estimated long-term non-GAAP tax rate as well as the tax charges or benefits resulting from the integration of intellectual property from acquisitions. The non-GAAP tax rate was calculated utilizing a three-year financial projection that excludes the direct impact of the GAAP to non-GAAP adjustments and considers other factors such as operating structure and existing tax positions in various jurisdictions. The Company intends to periodically reevaluate the projected long-term tax rate, as necessary, for significant events and our ongoing analysis of relevant tax law changes.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 xml:space="preserve">Definitions </w:t>
      </w:r>
    </w:p>
    <w:p>
      <w:pPr>
        <w:pStyle w:val="TextBody"/>
        <w:bidi w:val="0"/>
        <w:spacing w:lineRule="auto" w:line="288" w:before="0" w:after="180"/>
        <w:jc w:val="left"/>
        <w:rPr>
          <w:rFonts w:ascii="Times New Roman;serif" w:hAnsi="Times New Roman;serif"/>
          <w:b w:val="false"/>
          <w:i/>
          <w:color w:val="000000"/>
          <w:sz w:val="22"/>
        </w:rPr>
      </w:pPr>
      <w:r>
        <w:rPr>
          <w:rFonts w:ascii="Times New Roman;serif" w:hAnsi="Times New Roman;serif"/>
          <w:b w:val="false"/>
          <w:i/>
          <w:color w:val="000000"/>
          <w:sz w:val="22"/>
        </w:rPr>
        <w:t>Remaining Performance Obligations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The Company applies the practical expedient to omit disclosure with respect to the amount of the transaction price allocated to remaining performance obligations if the related contract has a total duration of 12 months or less.</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MongoDB</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 helps organizations everywhere move faster, innovate more efficiently, and simplify complex architectures. Millions of developers and more than 70,600 customers across almost every industry—including approximately 75% of the Fortune 100—rely on MongoDB for their most important applications. To learn more, visit https://mongodb.com.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 Lubert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jess.lubert@mongodb.com</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Media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MongoDB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press@mongodb.com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555" w:type="dxa"/>
        <w:jc w:val="left"/>
        <w:tblInd w:w="0" w:type="dxa"/>
        <w:tblLayout w:type="fixed"/>
        <w:tblCellMar>
          <w:top w:w="28" w:type="dxa"/>
          <w:left w:w="28" w:type="dxa"/>
          <w:bottom w:w="28" w:type="dxa"/>
          <w:right w:w="28" w:type="dxa"/>
        </w:tblCellMar>
      </w:tblPr>
      <w:tblGrid>
        <w:gridCol w:w="1572"/>
        <w:gridCol w:w="1383"/>
        <w:gridCol w:w="1394"/>
        <w:gridCol w:w="207"/>
        <w:gridCol w:w="922"/>
        <w:gridCol w:w="115"/>
        <w:gridCol w:w="109"/>
        <w:gridCol w:w="109"/>
        <w:gridCol w:w="109"/>
        <w:gridCol w:w="262"/>
        <w:gridCol w:w="1167"/>
        <w:gridCol w:w="206"/>
      </w:tblGrid>
      <w:tr>
        <w:trPr/>
        <w:tc>
          <w:tcPr>
            <w:tcW w:w="15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1,408,853 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doubtful accounts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3,125,986 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3,114,855 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28,978 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191,397 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34,502 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3,758,848 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and benefits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806,490 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5,345,494 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(494,569)</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(1,866,481)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(1,911,855)</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2,979,981 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2,952,358 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3,777,688 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3,758,848 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4"/>
        <w:gridCol w:w="1286"/>
        <w:gridCol w:w="1295"/>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income taxes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w:t>
      </w:r>
    </w:p>
    <w:tbl>
      <w:tblPr>
        <w:tblW w:w="9105"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stock</w:t>
              <w:noBreakHyphen/>
              <w:t xml:space="preserve">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75"/>
        <w:gridCol w:w="1271"/>
        <w:gridCol w:w="128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223"/>
      </w:tblGrid>
      <w:tr>
        <w:trPr/>
        <w:tc>
          <w:tcPr>
            <w:tcW w:w="167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 and accretion of discount on short-term investments,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loss (gain) on financial instruments,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commissions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non-marketable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net of cash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maturities of marketable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non-marketable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marketable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investing activities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141,176 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under the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Principal payments of finance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cash equivalents and restricted cash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cash equivalents and restricted cash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beginning of period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492,753 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end of period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100" w:after="180"/>
        <w:jc w:val="left"/>
        <w:rPr/>
      </w:pPr>
      <w:r>
        <w:rPr/>
      </w:r>
    </w:p>
    <w:tbl>
      <w:tblPr>
        <w:tblW w:w="10205" w:type="dxa"/>
        <w:jc w:val="left"/>
        <w:tblInd w:w="0" w:type="dxa"/>
        <w:tblLayout w:type="fixed"/>
        <w:tblCellMar>
          <w:top w:w="28" w:type="dxa"/>
          <w:left w:w="28" w:type="dxa"/>
          <w:bottom w:w="28" w:type="dxa"/>
          <w:right w:w="28" w:type="dxa"/>
        </w:tblCellMar>
      </w:tblPr>
      <w:tblGrid>
        <w:gridCol w:w="1383"/>
        <w:gridCol w:w="1040"/>
        <w:gridCol w:w="1045"/>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271"/>
        <w:gridCol w:w="109"/>
        <w:gridCol w:w="109"/>
        <w:gridCol w:w="156"/>
      </w:tblGrid>
      <w:tr>
        <w:trPr/>
        <w:tc>
          <w:tcPr>
            <w:tcW w:w="13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to non-GAAP gross profit:</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a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(Gross profit/Total revenue) on a GAAP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 Cost of Revenue—Subscription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 Cost of Revenue—Services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 (Non-GAAP gross profit/Total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operating expenses to non-GAAP 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operating expense on a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operating expense on a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operating expense on a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 operating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6"/>
        <w:gridCol w:w="1095"/>
        <w:gridCol w:w="1100"/>
        <w:gridCol w:w="211"/>
        <w:gridCol w:w="826"/>
        <w:gridCol w:w="271"/>
        <w:gridCol w:w="109"/>
        <w:gridCol w:w="109"/>
        <w:gridCol w:w="109"/>
        <w:gridCol w:w="211"/>
        <w:gridCol w:w="751"/>
        <w:gridCol w:w="271"/>
        <w:gridCol w:w="109"/>
        <w:gridCol w:w="109"/>
        <w:gridCol w:w="109"/>
        <w:gridCol w:w="211"/>
        <w:gridCol w:w="826"/>
        <w:gridCol w:w="271"/>
        <w:gridCol w:w="109"/>
        <w:gridCol w:w="109"/>
        <w:gridCol w:w="109"/>
        <w:gridCol w:w="211"/>
        <w:gridCol w:w="856"/>
        <w:gridCol w:w="271"/>
        <w:gridCol w:w="109"/>
        <w:gridCol w:w="109"/>
        <w:gridCol w:w="158"/>
      </w:tblGrid>
      <w:tr>
        <w:trPr/>
        <w:tc>
          <w:tcPr>
            <w:tcW w:w="146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income (loss) from operations to non-GAAP income from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on a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 operating margin (Income (loss) from operations/Total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margin (Non-GAAP income from operations/Total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net income (loss) to non-GAAP net income: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on a GAAP basis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 on financial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effects and adjustments </w:t>
            </w:r>
            <w:r>
              <w:rPr>
                <w:rFonts w:ascii="Times New Roman;serif" w:hAnsi="Times New Roman;serif"/>
                <w:b w:val="false"/>
                <w:color w:val="000000"/>
                <w:sz w:val="13"/>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net income (loss) per share, diluted, to non-GAAP net income per share, fully diluted: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 on a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 on financial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and adjustments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fully diluted earnings per share</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fully diluted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pStyle w:val="TextBody"/>
        <w:bidi w:val="0"/>
        <w:spacing w:lineRule="auto" w:line="288"/>
        <w:jc w:val="left"/>
        <w:rPr/>
      </w:pPr>
      <w:r>
        <w:rPr>
          <w:rFonts w:ascii="Times New Roman;serif" w:hAnsi="Times New Roman;serif"/>
          <w:b w:val="false"/>
          <w:color w:val="000000"/>
          <w:sz w:val="18"/>
        </w:rPr>
        <w:t>** Fully diluted non-GAAP net income per share is calculated based upon 85.8 million and 85.6 million</w:t>
      </w:r>
      <w:r>
        <w:rPr>
          <w:color w:val="000000"/>
        </w:rPr>
        <w:t xml:space="preserve"> </w:t>
      </w:r>
      <w:r>
        <w:rPr>
          <w:rFonts w:ascii="Times New Roman;serif" w:hAnsi="Times New Roman;serif"/>
          <w:b w:val="false"/>
          <w:color w:val="000000"/>
          <w:sz w:val="18"/>
        </w:rPr>
        <w:t>of fully diluted weighted-average shares of outstanding common stock for the three and six months ended July 31, 2026, respectively, and 87.1 million and 87.0 million of fully diluted weighted-average shares of outstanding common stock for the three and six months ended July 31, 2025, respectively.</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to net cash provided by operating activities, the most directly comparable GAAP measure, for each of the periods indicated (unaudited, in thousands):</w:t>
      </w:r>
    </w:p>
    <w:tbl>
      <w:tblPr>
        <w:tblW w:w="9015" w:type="dxa"/>
        <w:jc w:val="left"/>
        <w:tblInd w:w="0" w:type="dxa"/>
        <w:tblLayout w:type="fixed"/>
        <w:tblCellMar>
          <w:top w:w="28" w:type="dxa"/>
          <w:left w:w="28" w:type="dxa"/>
          <w:bottom w:w="28" w:type="dxa"/>
          <w:right w:w="28" w:type="dxa"/>
        </w:tblCellMar>
      </w:tblPr>
      <w:tblGrid>
        <w:gridCol w:w="1270"/>
        <w:gridCol w:w="1118"/>
        <w:gridCol w:w="1122"/>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80"/>
        <w:jc w:val="center"/>
        <w:rPr/>
      </w:pPr>
      <w:r>
        <w:rPr/>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18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GUIDANCE TO NON-GAAP GUIDANCE</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THIRD QUARTER &amp; FULL YEAR FISCAL 2027</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millions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60"/>
        <w:ind w:left="0" w:right="0" w:firstLine="540"/>
        <w:jc w:val="left"/>
        <w:rPr/>
      </w:pPr>
      <w:r>
        <w:rPr/>
      </w:r>
    </w:p>
    <w:tbl>
      <w:tblPr>
        <w:tblW w:w="7766" w:type="dxa"/>
        <w:jc w:val="left"/>
        <w:tblInd w:w="0" w:type="dxa"/>
        <w:tblLayout w:type="fixed"/>
        <w:tblCellMar>
          <w:top w:w="28" w:type="dxa"/>
          <w:left w:w="28" w:type="dxa"/>
          <w:bottom w:w="28" w:type="dxa"/>
          <w:right w:w="28" w:type="dxa"/>
        </w:tblCellMar>
      </w:tblPr>
      <w:tblGrid>
        <w:gridCol w:w="1579"/>
        <w:gridCol w:w="1390"/>
        <w:gridCol w:w="1396"/>
        <w:gridCol w:w="509"/>
        <w:gridCol w:w="509"/>
        <w:gridCol w:w="511"/>
        <w:gridCol w:w="109"/>
        <w:gridCol w:w="109"/>
        <w:gridCol w:w="109"/>
        <w:gridCol w:w="451"/>
        <w:gridCol w:w="451"/>
        <w:gridCol w:w="643"/>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Third Quarter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2027</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 GAAP guidance</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to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 to $(8.0)</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628.9</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 non-GAAP guidance</w:t>
            </w:r>
          </w:p>
        </w:tc>
        <w:tc>
          <w:tcPr>
            <w:tcW w:w="1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$152.0 to $156.0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$616.3 to $636.3</w:t>
            </w:r>
          </w:p>
        </w:tc>
      </w:tr>
    </w:tbl>
    <w:p>
      <w:pPr>
        <w:pStyle w:val="TextBody"/>
        <w:bidi w:val="0"/>
        <w:spacing w:before="0" w:after="0"/>
        <w:jc w:val="left"/>
        <w:rPr/>
      </w:pPr>
      <w:r>
        <w:rPr/>
      </w:r>
    </w:p>
    <w:tbl>
      <w:tblPr>
        <w:tblW w:w="7359" w:type="dxa"/>
        <w:jc w:val="left"/>
        <w:tblInd w:w="0" w:type="dxa"/>
        <w:tblLayout w:type="fixed"/>
        <w:tblCellMar>
          <w:top w:w="28" w:type="dxa"/>
          <w:left w:w="28" w:type="dxa"/>
          <w:bottom w:w="28" w:type="dxa"/>
          <w:right w:w="28" w:type="dxa"/>
        </w:tblCellMar>
      </w:tblPr>
      <w:tblGrid>
        <w:gridCol w:w="1578"/>
        <w:gridCol w:w="1388"/>
        <w:gridCol w:w="1398"/>
        <w:gridCol w:w="444"/>
        <w:gridCol w:w="444"/>
        <w:gridCol w:w="446"/>
        <w:gridCol w:w="109"/>
        <w:gridCol w:w="109"/>
        <w:gridCol w:w="109"/>
        <w:gridCol w:w="389"/>
        <w:gridCol w:w="389"/>
        <w:gridCol w:w="556"/>
      </w:tblGrid>
      <w:tr>
        <w:trPr/>
        <w:tc>
          <w:tcPr>
            <w:tcW w:w="15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Third Quarter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2027</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GAAP guidance</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 to $0.05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$0.53 to $0.77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associated with stock-based compensation</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0.16</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securities litigation</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acquisition-related costs and other</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 on financial instruments, net</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and adjustments*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0.36 to 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 to 1.50</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fully diluted earnings per share</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(0.28)</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non-GAAP guidance</w:t>
            </w:r>
          </w:p>
        </w:tc>
        <w:tc>
          <w:tcPr>
            <w:tcW w:w="13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 to $1.61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$6.39 to $6.58</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pPr>
      <w:r>
        <w:rPr>
          <w:rFonts w:ascii="Times New Roman;serif" w:hAnsi="Times New Roman;serif"/>
          <w:b/>
          <w:color w:val="000000"/>
          <w:sz w:val="20"/>
        </w:rPr>
        <w:t>CUSTOMER COUNT METRICS</w:t>
        <w:br/>
      </w:r>
      <w:r>
        <w:rPr>
          <w:rFonts w:ascii="Times New Roman;serif" w:hAnsi="Times New Roman;serif"/>
          <w:b w:val="false"/>
          <w:i/>
          <w:color w:val="000000"/>
          <w:sz w:val="20"/>
        </w:rPr>
        <w:t>(unaudited)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customer count information as of the periods indicated:</w:t>
      </w:r>
    </w:p>
    <w:tbl>
      <w:tblPr>
        <w:tblW w:w="10205" w:type="dxa"/>
        <w:jc w:val="left"/>
        <w:tblInd w:w="0" w:type="dxa"/>
        <w:tblLayout w:type="fixed"/>
        <w:tblCellMar>
          <w:top w:w="28" w:type="dxa"/>
          <w:left w:w="28" w:type="dxa"/>
          <w:bottom w:w="28" w:type="dxa"/>
          <w:right w:w="28" w:type="dxa"/>
        </w:tblCellMar>
      </w:tblPr>
      <w:tblGrid>
        <w:gridCol w:w="615"/>
        <w:gridCol w:w="489"/>
        <w:gridCol w:w="491"/>
        <w:gridCol w:w="239"/>
        <w:gridCol w:w="231"/>
        <w:gridCol w:w="182"/>
        <w:gridCol w:w="109"/>
        <w:gridCol w:w="109"/>
        <w:gridCol w:w="109"/>
        <w:gridCol w:w="264"/>
        <w:gridCol w:w="228"/>
        <w:gridCol w:w="193"/>
        <w:gridCol w:w="109"/>
        <w:gridCol w:w="109"/>
        <w:gridCol w:w="109"/>
        <w:gridCol w:w="239"/>
        <w:gridCol w:w="231"/>
        <w:gridCol w:w="182"/>
        <w:gridCol w:w="109"/>
        <w:gridCol w:w="109"/>
        <w:gridCol w:w="109"/>
        <w:gridCol w:w="239"/>
        <w:gridCol w:w="231"/>
        <w:gridCol w:w="182"/>
        <w:gridCol w:w="109"/>
        <w:gridCol w:w="109"/>
        <w:gridCol w:w="109"/>
        <w:gridCol w:w="239"/>
        <w:gridCol w:w="231"/>
        <w:gridCol w:w="182"/>
        <w:gridCol w:w="109"/>
        <w:gridCol w:w="109"/>
        <w:gridCol w:w="109"/>
        <w:gridCol w:w="264"/>
        <w:gridCol w:w="228"/>
        <w:gridCol w:w="193"/>
        <w:gridCol w:w="109"/>
        <w:gridCol w:w="109"/>
        <w:gridCol w:w="109"/>
        <w:gridCol w:w="239"/>
        <w:gridCol w:w="231"/>
        <w:gridCol w:w="182"/>
        <w:gridCol w:w="109"/>
        <w:gridCol w:w="109"/>
        <w:gridCol w:w="109"/>
        <w:gridCol w:w="239"/>
        <w:gridCol w:w="231"/>
        <w:gridCol w:w="182"/>
        <w:gridCol w:w="109"/>
        <w:gridCol w:w="109"/>
        <w:gridCol w:w="109"/>
        <w:gridCol w:w="224"/>
        <w:gridCol w:w="224"/>
        <w:gridCol w:w="264"/>
      </w:tblGrid>
      <w:tr>
        <w:trPr/>
        <w:tc>
          <w:tcPr>
            <w:tcW w:w="6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7/31/2026</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Total Customers</w:t>
            </w:r>
            <w:r>
              <w:rPr>
                <w:rFonts w:ascii="Times New Roman;serif" w:hAnsi="Times New Roman;serif"/>
                <w:b w:val="false"/>
                <w:color w:val="000000"/>
                <w:sz w:val="13"/>
              </w:rPr>
              <w:t>(a)</w:t>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70,600+</w:t>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MongoDB Atlas Customers</w:t>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Customers over $100K</w:t>
            </w:r>
            <w:r>
              <w:rPr>
                <w:rFonts w:ascii="Times New Roman;serif" w:hAnsi="Times New Roman;serif"/>
                <w:b w:val="false"/>
                <w:color w:val="000000"/>
                <w:sz w:val="13"/>
              </w:rPr>
              <w:t>(b)</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2,189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2,314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2,396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2,506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2,564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2,694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2,799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2,895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w:t>
            </w:r>
          </w:p>
        </w:tc>
      </w:tr>
      <w:tr>
        <w:trPr/>
        <w:tc>
          <w:tcPr>
            <w:tcW w:w="1595"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Our definition of “customer” excludes users of our free offerings and all affiliated entities are counted as a single customer.</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 Represents the number of customers with $100,000 or greater in annualized recurring revenue (“ARR”). ARR includes the revenue we expect to receive from our customers over the following 12 months based on contractual commitments and, in the case of Direct Sales Customers of Atlas, by annualizing the prior 90 days of their actual consumption of Atlas, assuming no increases or reductions in their subscriptions or usage. For all other customers of our self-serve products, we calculate ARR by annualizing the prior 30 days of their actual consumption of such products, assuming no increases or reductions in usage. ARR excludes professional services.</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pPr>
      <w:r>
        <w:rPr>
          <w:rFonts w:ascii="Times New Roman;serif" w:hAnsi="Times New Roman;serif"/>
          <w:b/>
          <w:color w:val="000000"/>
          <w:sz w:val="20"/>
        </w:rPr>
        <w:t>SUPPLEMENTAL REVENUE INFORMATION</w:t>
      </w:r>
      <w:r>
        <w:rPr>
          <w:rFonts w:ascii="Times New Roman;serif" w:hAnsi="Times New Roman;serif"/>
          <w:b w:val="false"/>
          <w:i/>
          <w:color w:val="000000"/>
          <w:sz w:val="20"/>
        </w:rPr>
        <w:br/>
        <w:t>(unaudited)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supplemental revenue information as of the periods indicated:</w:t>
      </w:r>
    </w:p>
    <w:tbl>
      <w:tblPr>
        <w:tblW w:w="10205" w:type="dxa"/>
        <w:jc w:val="left"/>
        <w:tblInd w:w="0" w:type="dxa"/>
        <w:tblLayout w:type="fixed"/>
        <w:tblCellMar>
          <w:top w:w="28" w:type="dxa"/>
          <w:left w:w="28" w:type="dxa"/>
          <w:bottom w:w="28" w:type="dxa"/>
          <w:right w:w="28" w:type="dxa"/>
        </w:tblCellMar>
      </w:tblPr>
      <w:tblGrid>
        <w:gridCol w:w="536"/>
        <w:gridCol w:w="470"/>
        <w:gridCol w:w="472"/>
        <w:gridCol w:w="109"/>
        <w:gridCol w:w="109"/>
        <w:gridCol w:w="184"/>
        <w:gridCol w:w="177"/>
        <w:gridCol w:w="286"/>
        <w:gridCol w:w="109"/>
        <w:gridCol w:w="109"/>
        <w:gridCol w:w="109"/>
        <w:gridCol w:w="204"/>
        <w:gridCol w:w="160"/>
        <w:gridCol w:w="290"/>
        <w:gridCol w:w="109"/>
        <w:gridCol w:w="109"/>
        <w:gridCol w:w="109"/>
        <w:gridCol w:w="184"/>
        <w:gridCol w:w="177"/>
        <w:gridCol w:w="286"/>
        <w:gridCol w:w="109"/>
        <w:gridCol w:w="109"/>
        <w:gridCol w:w="109"/>
        <w:gridCol w:w="184"/>
        <w:gridCol w:w="177"/>
        <w:gridCol w:w="286"/>
        <w:gridCol w:w="109"/>
        <w:gridCol w:w="109"/>
        <w:gridCol w:w="109"/>
        <w:gridCol w:w="184"/>
        <w:gridCol w:w="177"/>
        <w:gridCol w:w="286"/>
        <w:gridCol w:w="109"/>
        <w:gridCol w:w="109"/>
        <w:gridCol w:w="109"/>
        <w:gridCol w:w="204"/>
        <w:gridCol w:w="160"/>
        <w:gridCol w:w="290"/>
        <w:gridCol w:w="109"/>
        <w:gridCol w:w="109"/>
        <w:gridCol w:w="109"/>
        <w:gridCol w:w="184"/>
        <w:gridCol w:w="177"/>
        <w:gridCol w:w="286"/>
        <w:gridCol w:w="109"/>
        <w:gridCol w:w="109"/>
        <w:gridCol w:w="109"/>
        <w:gridCol w:w="184"/>
        <w:gridCol w:w="177"/>
        <w:gridCol w:w="286"/>
        <w:gridCol w:w="109"/>
        <w:gridCol w:w="109"/>
        <w:gridCol w:w="109"/>
        <w:gridCol w:w="180"/>
        <w:gridCol w:w="181"/>
        <w:gridCol w:w="342"/>
      </w:tblGrid>
      <w:tr>
        <w:trPr/>
        <w:tc>
          <w:tcPr>
            <w:tcW w:w="5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9"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7/31/2026</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 of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 based on address of the Company's customers (in thousands):</w:t>
      </w:r>
    </w:p>
    <w:tbl>
      <w:tblPr>
        <w:tblW w:w="8505" w:type="dxa"/>
        <w:jc w:val="left"/>
        <w:tblInd w:w="0" w:type="dxa"/>
        <w:tblLayout w:type="fixed"/>
        <w:tblCellMar>
          <w:top w:w="28" w:type="dxa"/>
          <w:left w:w="28" w:type="dxa"/>
          <w:bottom w:w="28" w:type="dxa"/>
          <w:right w:w="28" w:type="dxa"/>
        </w:tblCellMar>
      </w:tblPr>
      <w:tblGrid>
        <w:gridCol w:w="941"/>
        <w:gridCol w:w="825"/>
        <w:gridCol w:w="82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Americas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Asia Pacific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subscription product categories and services (in thousands):</w:t>
      </w:r>
    </w:p>
    <w:tbl>
      <w:tblPr>
        <w:tblW w:w="9704" w:type="dxa"/>
        <w:jc w:val="left"/>
        <w:tblInd w:w="0" w:type="dxa"/>
        <w:tblLayout w:type="fixed"/>
        <w:tblCellMar>
          <w:top w:w="28" w:type="dxa"/>
          <w:left w:w="28" w:type="dxa"/>
          <w:bottom w:w="28" w:type="dxa"/>
          <w:right w:w="28" w:type="dxa"/>
        </w:tblCellMar>
      </w:tblPr>
      <w:tblGrid>
        <w:gridCol w:w="1375"/>
        <w:gridCol w:w="1208"/>
        <w:gridCol w:w="121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product categories and services: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Atlas-related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ind w:left="0" w:right="0" w:firstLine="5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5827</Words>
  <Characters>33721</Characters>
  <CharactersWithSpaces>38912</CharactersWithSpaces>
  <Paragraphs>1268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