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302"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MongoDB, Inc.</w:t>
      </w:r>
    </w:p>
    <w:p>
      <w:pPr>
        <w:spacing w:after="0" w:line="54"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Class A Common Stock, $0.001 par value per share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60937P106</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323215</wp:posOffset>
            </wp:positionV>
            <wp:extent cx="24828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196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38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285" cy="205740"/>
                    </a:xfrm>
                    <a:prstGeom prst="rect">
                      <a:avLst/>
                    </a:prstGeom>
                    <a:noFill/>
                  </pic:spPr>
                </pic:pic>
              </a:graphicData>
            </a:graphic>
          </wp:anchor>
        </w:drawing>
      </w:r>
    </w:p>
    <w:p>
      <w:pPr>
        <w:spacing w:after="0" w:line="381" w:lineRule="exact"/>
        <w:rPr>
          <w:sz w:val="24"/>
          <w:szCs w:val="24"/>
          <w:color w:val="auto"/>
        </w:rPr>
      </w:pPr>
    </w:p>
    <w:p>
      <w:pPr>
        <w:ind w:left="540" w:hanging="32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309"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5" w:lineRule="exact"/>
        <w:rPr>
          <w:sz w:val="24"/>
          <w:szCs w:val="24"/>
          <w:color w:val="auto"/>
        </w:rPr>
      </w:pPr>
    </w:p>
    <w:p>
      <w:pPr>
        <w:ind w:right="80"/>
        <w:spacing w:after="0" w:line="39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60"/>
          </w:cols>
          <w:pgMar w:left="160" w:top="1405" w:right="279" w:bottom="1440" w:gutter="0" w:footer="0" w:header="0"/>
        </w:sectPr>
      </w:pPr>
    </w:p>
    <w:bookmarkStart w:id="1" w:name="page2"/>
    <w:bookmarkEnd w:id="1"/>
    <w:tbl>
      <w:tblPr>
        <w:tblLayout w:type="fixed"/>
        <w:tblInd w:w="8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40" w:type="dxa"/>
            <w:vAlign w:val="bottom"/>
            <w:tcBorders>
              <w:top w:val="single" w:sz="8" w:color="auto"/>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23"/>
                <w:szCs w:val="23"/>
                <w:color w:val="auto"/>
              </w:rPr>
            </w:pPr>
          </w:p>
        </w:tc>
        <w:tc>
          <w:tcPr>
            <w:tcW w:w="1068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w w:val="91"/>
              </w:rPr>
              <w:t>Kevin P. Ryan</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0680" w:type="dxa"/>
            <w:vAlign w:val="bottom"/>
            <w:tcBorders>
              <w:bottom w:val="single" w:sz="8" w:color="auto"/>
              <w:right w:val="single" w:sz="8" w:color="auto"/>
            </w:tcBorders>
            <w:gridSpan w:val="4"/>
          </w:tcPr>
          <w:p>
            <w:pPr>
              <w:spacing w:after="0"/>
              <w:rPr>
                <w:sz w:val="4"/>
                <w:szCs w:val="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(a)  [ ]  (b)</w:t>
            </w:r>
          </w:p>
        </w:tc>
        <w:tc>
          <w:tcPr>
            <w:tcW w:w="7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3"/>
              </w:rPr>
              <w:t>[ ]</w:t>
            </w: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tcBorders>
            <w:gridSpan w:val="3"/>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3"/>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auto"/>
            </w:tcBorders>
          </w:tcPr>
          <w:p>
            <w:pPr>
              <w:spacing w:after="0"/>
              <w:rPr>
                <w:sz w:val="22"/>
                <w:szCs w:val="22"/>
                <w:color w:val="auto"/>
              </w:rPr>
            </w:pPr>
          </w:p>
        </w:tc>
        <w:tc>
          <w:tcPr>
            <w:tcW w:w="19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8740" w:type="dxa"/>
            <w:vAlign w:val="bottom"/>
            <w:tcBorders>
              <w:right w:val="single" w:sz="8" w:color="auto"/>
            </w:tcBorders>
          </w:tcPr>
          <w:p>
            <w:pPr>
              <w:spacing w:after="0"/>
              <w:rPr>
                <w:sz w:val="22"/>
                <w:szCs w:val="22"/>
                <w:color w:val="auto"/>
              </w:rPr>
            </w:pPr>
          </w:p>
        </w:tc>
      </w:tr>
      <w:tr>
        <w:trPr>
          <w:trHeight w:val="486"/>
        </w:trPr>
        <w:tc>
          <w:tcPr>
            <w:tcW w:w="54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680" w:type="dxa"/>
            <w:vAlign w:val="bottom"/>
            <w:tcBorders>
              <w:bottom w:val="single" w:sz="8" w:color="auto"/>
              <w:right w:val="single" w:sz="8" w:color="auto"/>
            </w:tcBorders>
            <w:gridSpan w:val="4"/>
          </w:tcPr>
          <w:p>
            <w:pPr>
              <w:spacing w:after="0"/>
              <w:rPr>
                <w:sz w:val="24"/>
                <w:szCs w:val="2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w w:val="95"/>
              </w:rPr>
              <w:t>United States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432"/>
        </w:trPr>
        <w:tc>
          <w:tcPr>
            <w:tcW w:w="2020" w:type="dxa"/>
            <w:vAlign w:val="bottom"/>
            <w:tcBorders>
              <w:lef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rPr>
              <w:t>NUMBER OF</w:t>
            </w:r>
          </w:p>
        </w:tc>
        <w:tc>
          <w:tcPr>
            <w:tcW w:w="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1,833,739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1480" w:type="dxa"/>
            <w:vAlign w:val="bottom"/>
            <w:gridSpan w:val="2"/>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5"/>
              </w:rPr>
              <w:t>SHARES</w:t>
            </w: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16"/>
        </w:trPr>
        <w:tc>
          <w:tcPr>
            <w:tcW w:w="2020" w:type="dxa"/>
            <w:vAlign w:val="bottom"/>
            <w:tcBorders>
              <w:left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rPr>
              <w:t>OWNED BY</w:t>
            </w:r>
          </w:p>
        </w:tc>
        <w:tc>
          <w:tcPr>
            <w:tcW w:w="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962,166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590"/>
              <w:spacing w:after="0"/>
              <w:rPr>
                <w:sz w:val="20"/>
                <w:szCs w:val="20"/>
                <w:color w:val="auto"/>
              </w:rPr>
            </w:pPr>
            <w:r>
              <w:rPr>
                <w:rFonts w:ascii="Arial" w:cs="Arial" w:eastAsia="Arial" w:hAnsi="Arial"/>
                <w:sz w:val="18"/>
                <w:szCs w:val="18"/>
                <w:b w:val="1"/>
                <w:bCs w:val="1"/>
                <w:color w:val="auto"/>
                <w:w w:val="97"/>
              </w:rPr>
              <w:t>EACH</w:t>
            </w: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540" w:type="dxa"/>
            <w:vAlign w:val="bottom"/>
            <w:tcBorders>
              <w:left w:val="single" w:sz="8" w:color="auto"/>
            </w:tcBorders>
          </w:tcPr>
          <w:p>
            <w:pPr>
              <w:spacing w:after="0"/>
              <w:rPr>
                <w:sz w:val="18"/>
                <w:szCs w:val="18"/>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rPr>
              <w:t>REPORTING</w:t>
            </w:r>
          </w:p>
        </w:tc>
        <w:tc>
          <w:tcPr>
            <w:tcW w:w="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4"/>
              </w:rPr>
              <w:t>PERSON</w:t>
            </w:r>
          </w:p>
        </w:tc>
        <w:tc>
          <w:tcPr>
            <w:tcW w:w="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1,833,739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center"/>
              <w:ind w:right="590"/>
              <w:spacing w:after="0"/>
              <w:rPr>
                <w:sz w:val="20"/>
                <w:szCs w:val="20"/>
                <w:color w:val="auto"/>
              </w:rPr>
            </w:pPr>
            <w:r>
              <w:rPr>
                <w:rFonts w:ascii="Arial" w:cs="Arial" w:eastAsia="Arial" w:hAnsi="Arial"/>
                <w:sz w:val="18"/>
                <w:szCs w:val="18"/>
                <w:b w:val="1"/>
                <w:bCs w:val="1"/>
                <w:color w:val="auto"/>
              </w:rPr>
              <w:t>WITH</w:t>
            </w:r>
          </w:p>
        </w:tc>
        <w:tc>
          <w:tcPr>
            <w:tcW w:w="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962,166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9</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2,795,905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49"/>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10</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gridSpan w:val="2"/>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5.2% of Common Stock (7.2% of Class A Common Stock)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520"/>
          </w:cols>
          <w:pgMar w:left="220" w:top="50" w:right="159" w:bottom="1440" w:gutter="0" w:footer="0" w:header="0"/>
        </w:sectPr>
      </w:pPr>
    </w:p>
    <w:bookmarkStart w:id="2" w:name="page3"/>
    <w:bookmarkEnd w:id="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1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MongoDB, Inc.</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New York 10019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31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0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Kevin P. Ryan</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The address for the principal business office of Kevin P. Ryan is: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 MongoDB, Inc.</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New York, New York 10019</w:t>
      </w:r>
    </w:p>
    <w:p>
      <w:pPr>
        <w:spacing w:after="0" w:line="29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United States</w:t>
      </w:r>
    </w:p>
    <w:p>
      <w:pPr>
        <w:spacing w:after="0" w:line="31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310"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60937P106</w:t>
      </w:r>
    </w:p>
    <w:p>
      <w:pPr>
        <w:spacing w:after="0" w:line="306" w:lineRule="exact"/>
        <w:rPr>
          <w:sz w:val="20"/>
          <w:szCs w:val="20"/>
          <w:color w:val="auto"/>
        </w:rPr>
      </w:pPr>
    </w:p>
    <w:p>
      <w:pPr>
        <w:spacing w:after="0"/>
        <w:tabs>
          <w:tab w:leader="none" w:pos="960" w:val="left"/>
          <w:tab w:leader="none" w:pos="9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r>
        <w:rPr>
          <w:sz w:val="20"/>
          <w:szCs w:val="20"/>
          <w:color w:val="auto"/>
        </w:rPr>
        <w:tab/>
      </w:r>
      <w:r>
        <w:rPr>
          <w:rFonts w:ascii="Arial" w:cs="Arial" w:eastAsia="Arial" w:hAnsi="Arial"/>
          <w:sz w:val="17"/>
          <w:szCs w:val="17"/>
          <w:color w:val="auto"/>
        </w:rPr>
        <w:t>NOT APPLICABLE.</w:t>
      </w:r>
    </w:p>
    <w:p>
      <w:pPr>
        <w:sectPr>
          <w:pgSz w:w="11900" w:h="16838" w:orient="portrait"/>
          <w:cols w:equalWidth="0" w:num="1">
            <w:col w:w="11180"/>
          </w:cols>
          <w:pgMar w:left="160" w:top="50" w:right="559" w:bottom="1440" w:gutter="0" w:footer="0" w:header="0"/>
        </w:sectPr>
      </w:pPr>
    </w:p>
    <w:bookmarkStart w:id="3" w:name="page4"/>
    <w:bookmarkEnd w:id="3"/>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47"/>
        </w:trPr>
        <w:tc>
          <w:tcPr>
            <w:tcW w:w="500" w:type="dxa"/>
            <w:vAlign w:val="bottom"/>
            <w:vMerge w:val="restart"/>
          </w:tcPr>
          <w:p>
            <w:pPr>
              <w:spacing w:after="0"/>
              <w:rPr>
                <w:sz w:val="20"/>
                <w:szCs w:val="20"/>
                <w:color w:val="auto"/>
              </w:rPr>
            </w:pPr>
            <w:r>
              <w:rPr>
                <w:rFonts w:ascii="Arial" w:cs="Arial" w:eastAsia="Arial" w:hAnsi="Arial"/>
                <w:sz w:val="18"/>
                <w:szCs w:val="18"/>
                <w:color w:val="auto"/>
              </w:rPr>
              <w:t>(b)</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(c)</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(d)</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(e)</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investment adviser in accordance with §240.13d-1(b)(1)(ii)(E);</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(f)</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employee benefit plan or endowment fund in accordance with §240.13d-1(b)(1)(ii)(F);</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(g)</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(h)</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188595</wp:posOffset>
            </wp:positionV>
            <wp:extent cx="299720" cy="33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720" cy="334010"/>
                    </a:xfrm>
                    <a:prstGeom prst="rect">
                      <a:avLst/>
                    </a:prstGeom>
                    <a:noFill/>
                  </pic:spPr>
                </pic:pic>
              </a:graphicData>
            </a:graphic>
          </wp:anchor>
        </w:drawing>
      </w:r>
    </w:p>
    <w:p>
      <w:pPr>
        <w:spacing w:after="0" w:line="290" w:lineRule="exact"/>
        <w:rPr>
          <w:sz w:val="20"/>
          <w:szCs w:val="20"/>
          <w:color w:val="auto"/>
        </w:rPr>
      </w:pPr>
    </w:p>
    <w:p>
      <w:pPr>
        <w:ind w:left="1200" w:right="220" w:hanging="1057"/>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 w:type="dxa"/>
            <w:vAlign w:val="bottom"/>
          </w:tcPr>
          <w:p>
            <w:pPr>
              <w:ind w:left="140"/>
              <w:spacing w:after="0"/>
              <w:rPr>
                <w:sz w:val="20"/>
                <w:szCs w:val="20"/>
                <w:color w:val="auto"/>
              </w:rPr>
            </w:pPr>
            <w:r>
              <w:rPr>
                <w:rFonts w:ascii="Arial" w:cs="Arial" w:eastAsia="Arial" w:hAnsi="Arial"/>
                <w:sz w:val="18"/>
                <w:szCs w:val="18"/>
                <w:color w:val="auto"/>
              </w:rPr>
              <w:t>(j)</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A non-U.S. institution in accordance with §240.13d-1(b)(1)(ii)(J);</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40" w:type="dxa"/>
            <w:vAlign w:val="bottom"/>
            <w:vMerge w:val="restart"/>
          </w:tcPr>
          <w:p>
            <w:pPr>
              <w:ind w:left="140"/>
              <w:spacing w:after="0"/>
              <w:rPr>
                <w:sz w:val="20"/>
                <w:szCs w:val="20"/>
                <w:color w:val="auto"/>
              </w:rPr>
            </w:pPr>
            <w:r>
              <w:rPr>
                <w:rFonts w:ascii="Arial" w:cs="Arial" w:eastAsia="Arial" w:hAnsi="Arial"/>
                <w:sz w:val="18"/>
                <w:szCs w:val="18"/>
                <w:color w:val="auto"/>
              </w:rPr>
              <w:t>(k)</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vMerge w:val="restart"/>
          </w:tcPr>
          <w:p>
            <w:pPr>
              <w:ind w:left="80"/>
              <w:spacing w:after="0"/>
              <w:rPr>
                <w:sz w:val="20"/>
                <w:szCs w:val="20"/>
                <w:color w:val="auto"/>
              </w:rPr>
            </w:pPr>
            <w:r>
              <w:rPr>
                <w:rFonts w:ascii="Arial" w:cs="Arial" w:eastAsia="Arial" w:hAnsi="Arial"/>
                <w:sz w:val="18"/>
                <w:szCs w:val="18"/>
                <w:color w:val="auto"/>
              </w:rPr>
              <w:t>Group, in accordance with §240.13d-1(b)(1)(ii)(K).</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4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w w:val="93"/>
              </w:rPr>
              <w:t>If filing as a non-U.S. institution in accordance with §240.13d-1(b)(1)(ii)(J), please specify the type of institution: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6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Ownership.</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18"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302" w:lineRule="exact"/>
        <w:rPr>
          <w:sz w:val="20"/>
          <w:szCs w:val="20"/>
          <w:color w:val="auto"/>
        </w:rPr>
      </w:pPr>
    </w:p>
    <w:p>
      <w:pPr>
        <w:jc w:val="both"/>
        <w:ind w:left="440" w:firstLine="46"/>
        <w:spacing w:after="0" w:line="330" w:lineRule="auto"/>
        <w:rPr>
          <w:sz w:val="20"/>
          <w:szCs w:val="20"/>
          <w:color w:val="auto"/>
        </w:rPr>
      </w:pPr>
      <w:r>
        <w:rPr>
          <w:rFonts w:ascii="Arial" w:cs="Arial" w:eastAsia="Arial" w:hAnsi="Arial"/>
          <w:sz w:val="17"/>
          <w:szCs w:val="17"/>
          <w:b w:val="1"/>
          <w:bCs w:val="1"/>
          <w:color w:val="auto"/>
        </w:rPr>
        <w:t>As of December 31, 2018: Mr. Ryan beneficially owned 2,795,905 shares of the Issuer’s Class B Common Stock, of which (i) 1,833,739 are held directly by him and (ii) 962,166 are held by The Kevin P. Ryan 2012 Trust for the benefit of his children. The Class B Common Stock is convertible at the holder’s option into the Issuer’s Class A Common Stock on a 1-for-1 basis. The holders of Class B Common Stock are entitled to ten votes per share and the holders of Class A Common Stock are entitled to one vote per share.</w:t>
      </w:r>
    </w:p>
    <w:p>
      <w:pPr>
        <w:spacing w:after="0" w:line="21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302" w:lineRule="exact"/>
        <w:rPr>
          <w:rFonts w:ascii="Arial" w:cs="Arial" w:eastAsia="Arial" w:hAnsi="Arial"/>
          <w:sz w:val="18"/>
          <w:szCs w:val="18"/>
          <w:color w:val="auto"/>
        </w:rPr>
      </w:pPr>
    </w:p>
    <w:p>
      <w:pPr>
        <w:jc w:val="both"/>
        <w:ind w:left="440"/>
        <w:spacing w:after="0" w:line="330" w:lineRule="auto"/>
        <w:rPr>
          <w:rFonts w:ascii="Arial" w:cs="Arial" w:eastAsia="Arial" w:hAnsi="Arial"/>
          <w:sz w:val="18"/>
          <w:szCs w:val="18"/>
          <w:color w:val="auto"/>
        </w:rPr>
      </w:pPr>
      <w:r>
        <w:rPr>
          <w:rFonts w:ascii="Arial" w:cs="Arial" w:eastAsia="Arial" w:hAnsi="Arial"/>
          <w:sz w:val="17"/>
          <w:szCs w:val="17"/>
          <w:b w:val="1"/>
          <w:bCs w:val="1"/>
          <w:color w:val="auto"/>
        </w:rPr>
        <w:t>Based on (i) 35,887,732 shares of the Issuer’s Class A Common Stock issued and outstanding and (ii) 18,109,700 shares of the Issuer’s Class B Common Stock issued and outstanding, in each case, as of December 31, 2018, as reported by the Issuer, and the information set forth in (a) above, Mr. Ryan beneficially owned 5.2% of the Issuer’s outstanding Common Stock, representing 12.9% of the total voting power of the Issuer’s outstanding Common Stock, and 7.2% of the Issuer’s outstanding Class A Common</w:t>
      </w:r>
    </w:p>
    <w:p>
      <w:pPr>
        <w:sectPr>
          <w:pgSz w:w="11900" w:h="16838" w:orient="portrait"/>
          <w:cols w:equalWidth="0" w:num="1">
            <w:col w:w="11560"/>
          </w:cols>
          <w:pgMar w:left="160" w:top="50" w:right="179" w:bottom="1440" w:gutter="0" w:footer="0" w:header="0"/>
        </w:sectPr>
      </w:pPr>
    </w:p>
    <w:bookmarkStart w:id="4" w:name="page5"/>
    <w:bookmarkEnd w:id="4"/>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Stock (treating only shares of Class B Common Stock beneficially owned by Mr. Ryan as converted for purposes of computing this percentage).</w:t>
      </w:r>
    </w:p>
    <w:p>
      <w:pPr>
        <w:spacing w:after="0" w:line="33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02"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 </w:t>
      </w:r>
      <w:r>
        <w:rPr>
          <w:rFonts w:ascii="Arial" w:cs="Arial" w:eastAsia="Arial" w:hAnsi="Arial"/>
          <w:sz w:val="18"/>
          <w:szCs w:val="18"/>
          <w:b w:val="1"/>
          <w:bCs w:val="1"/>
          <w:color w:val="auto"/>
        </w:rPr>
        <w:t>1,833,739</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 </w:t>
      </w:r>
      <w:r>
        <w:rPr>
          <w:rFonts w:ascii="Arial" w:cs="Arial" w:eastAsia="Arial" w:hAnsi="Arial"/>
          <w:sz w:val="18"/>
          <w:szCs w:val="18"/>
          <w:b w:val="1"/>
          <w:bCs w:val="1"/>
          <w:color w:val="auto"/>
        </w:rPr>
        <w:t>962,166</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 </w:t>
      </w:r>
      <w:r>
        <w:rPr>
          <w:rFonts w:ascii="Arial" w:cs="Arial" w:eastAsia="Arial" w:hAnsi="Arial"/>
          <w:sz w:val="18"/>
          <w:szCs w:val="18"/>
          <w:b w:val="1"/>
          <w:bCs w:val="1"/>
          <w:color w:val="auto"/>
        </w:rPr>
        <w:t>1,833,739</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 </w:t>
      </w:r>
      <w:r>
        <w:rPr>
          <w:rFonts w:ascii="Arial" w:cs="Arial" w:eastAsia="Arial" w:hAnsi="Arial"/>
          <w:sz w:val="18"/>
          <w:szCs w:val="18"/>
          <w:b w:val="1"/>
          <w:bCs w:val="1"/>
          <w:color w:val="auto"/>
        </w:rPr>
        <w:t>962,166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 see §240.13d-3(d)(1).</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310" w:lineRule="exact"/>
        <w:rPr>
          <w:sz w:val="20"/>
          <w:szCs w:val="20"/>
          <w:color w:val="auto"/>
        </w:rPr>
      </w:pPr>
    </w:p>
    <w:p>
      <w:pPr>
        <w:ind w:right="40" w:firstLine="648"/>
        <w:spacing w:after="0" w:line="3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400"/>
          </w:cols>
          <w:pgMar w:left="160" w:top="50" w:right="339" w:bottom="1440" w:gutter="0" w:footer="0" w:header="0"/>
        </w:sectPr>
      </w:pPr>
    </w:p>
    <w:bookmarkStart w:id="5" w:name="page6"/>
    <w:bookmarkEnd w:id="5"/>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February 8, 2019</w:t>
            </w:r>
          </w:p>
        </w:tc>
        <w:tc>
          <w:tcPr>
            <w:tcW w:w="3560" w:type="dxa"/>
            <w:vAlign w:val="bottom"/>
            <w:gridSpan w:val="3"/>
          </w:tcPr>
          <w:p>
            <w:pPr>
              <w:ind w:left="2040"/>
              <w:spacing w:after="0"/>
              <w:rPr>
                <w:sz w:val="20"/>
                <w:szCs w:val="20"/>
                <w:color w:val="auto"/>
              </w:rPr>
            </w:pPr>
            <w:r>
              <w:rPr>
                <w:rFonts w:ascii="Arial" w:cs="Arial" w:eastAsia="Arial" w:hAnsi="Arial"/>
                <w:sz w:val="18"/>
                <w:szCs w:val="18"/>
                <w:color w:val="auto"/>
                <w:w w:val="91"/>
              </w:rPr>
              <w:t>By: /s/Kevin P. Ryan</w:t>
            </w:r>
          </w:p>
        </w:tc>
      </w:tr>
      <w:tr>
        <w:trPr>
          <w:trHeight w:val="20"/>
        </w:trPr>
        <w:tc>
          <w:tcPr>
            <w:tcW w:w="3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w w:val="89"/>
              </w:rPr>
              <w:t>Kevin P. Ryan</w:t>
            </w:r>
          </w:p>
        </w:tc>
      </w:tr>
    </w:tbl>
    <w:p>
      <w:pPr>
        <w:spacing w:after="0" w:line="1" w:lineRule="exact"/>
        <w:rPr>
          <w:sz w:val="20"/>
          <w:szCs w:val="20"/>
          <w:color w:val="auto"/>
        </w:rPr>
      </w:pPr>
    </w:p>
    <w:sectPr>
      <w:pgSz w:w="11900" w:h="16838" w:orient="portrait"/>
      <w:cols w:equalWidth="0" w:num="1">
        <w:col w:w="11120"/>
      </w:cols>
      <w:pgMar w:left="160" w:top="5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2019-12-15T14:14:51Z</dcterms:created>
  <dcterms:modified xsi:type="dcterms:W3CDTF">2019-12-15T14:14:51Z</dcterms:modified>
</cp:coreProperties>
</file>